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13CB13D1"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bookmarkStart w:id="2" w:name="_GoBack"/>
      <w:r w:rsidR="00D00AE7">
        <w:rPr>
          <w:rFonts w:eastAsia="Times New Roman" w:cs="Arial"/>
          <w:bCs/>
          <w:noProof/>
          <w:sz w:val="20"/>
          <w:szCs w:val="18"/>
          <w:lang w:val="en-US" w:eastAsia="zh-CN"/>
        </w:rPr>
        <w:t>R1-</w:t>
      </w:r>
      <w:r w:rsidR="00263A3F">
        <w:rPr>
          <w:rFonts w:eastAsia="Times New Roman" w:cs="Arial"/>
          <w:bCs/>
          <w:noProof/>
          <w:sz w:val="20"/>
          <w:szCs w:val="18"/>
          <w:lang w:val="en-US" w:eastAsia="zh-CN"/>
        </w:rPr>
        <w:t>16</w:t>
      </w:r>
      <w:r w:rsidR="00585F78">
        <w:rPr>
          <w:rFonts w:eastAsia="Times New Roman" w:cs="Arial"/>
          <w:bCs/>
          <w:noProof/>
          <w:sz w:val="20"/>
          <w:szCs w:val="18"/>
          <w:lang w:val="en-US" w:eastAsia="zh-CN"/>
        </w:rPr>
        <w:t>3319</w:t>
      </w:r>
      <w:bookmarkEnd w:id="2"/>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4693D28"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9759A6" w:rsidRPr="009759A6">
        <w:rPr>
          <w:sz w:val="20"/>
          <w:lang w:val="en-US"/>
        </w:rPr>
        <w:t>Physical layer aspects for PDCCH for short TTI</w:t>
      </w:r>
    </w:p>
    <w:p w14:paraId="0AF57746" w14:textId="15FC518B"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9759A6">
        <w:rPr>
          <w:sz w:val="20"/>
          <w:lang w:val="en-US"/>
        </w:rPr>
        <w:t>7.3.10</w:t>
      </w:r>
      <w:r w:rsidR="00142A99">
        <w:rPr>
          <w:sz w:val="20"/>
          <w:lang w:val="en-US"/>
        </w:rPr>
        <w:t>.2</w:t>
      </w:r>
    </w:p>
    <w:p w14:paraId="05ED6158" w14:textId="77777777" w:rsidR="00D00AE7" w:rsidRDefault="00D00AE7" w:rsidP="00D00AE7">
      <w:pPr>
        <w:pStyle w:val="TdocHeader2"/>
        <w:rPr>
          <w:sz w:val="20"/>
          <w:lang w:val="en-US"/>
        </w:rPr>
      </w:pPr>
      <w:r>
        <w:rPr>
          <w:sz w:val="20"/>
          <w:lang w:val="en-US"/>
        </w:rPr>
        <w:t>Document for:</w:t>
      </w:r>
      <w:r>
        <w:rPr>
          <w:sz w:val="20"/>
          <w:lang w:val="en-US"/>
        </w:rPr>
        <w:tab/>
        <w:t>Discussion and Decision</w:t>
      </w:r>
    </w:p>
    <w:p w14:paraId="63BDB85A" w14:textId="77777777" w:rsidR="00BB1DDE" w:rsidRDefault="00BB1DDE" w:rsidP="00BB1DDE">
      <w:pPr>
        <w:pStyle w:val="Heading1"/>
        <w:numPr>
          <w:ilvl w:val="0"/>
          <w:numId w:val="43"/>
        </w:numPr>
        <w:textAlignment w:val="auto"/>
        <w:rPr>
          <w:lang w:val="en-US"/>
        </w:rPr>
      </w:pPr>
      <w:bookmarkStart w:id="4" w:name="_Ref298777854"/>
      <w:bookmarkEnd w:id="0"/>
      <w:bookmarkEnd w:id="1"/>
      <w:r>
        <w:rPr>
          <w:lang w:val="en-US"/>
        </w:rPr>
        <w:t>Introduction</w:t>
      </w:r>
      <w:bookmarkEnd w:id="4"/>
    </w:p>
    <w:p w14:paraId="09771F14" w14:textId="0E294ACF" w:rsidR="00BB1DDE" w:rsidRPr="009372D2" w:rsidRDefault="009372D2" w:rsidP="009372D2">
      <w:pPr>
        <w:rPr>
          <w:lang w:val="en-US"/>
        </w:rPr>
      </w:pPr>
      <w:r>
        <w:t>In this contribution, we provide our views on the physical layer design for TTI shortening for downlink transmissions. We describe how to extend the design PDCCH channel</w:t>
      </w:r>
      <w:r w:rsidR="009759A6">
        <w:t xml:space="preserve"> operating in a short TTI, i.e. </w:t>
      </w:r>
      <w:proofErr w:type="spellStart"/>
      <w:r w:rsidR="009759A6">
        <w:t>sPDCCH</w:t>
      </w:r>
      <w:proofErr w:type="spellEnd"/>
      <w:r>
        <w:t xml:space="preserve">. </w:t>
      </w:r>
    </w:p>
    <w:p w14:paraId="39EFEE8D" w14:textId="77777777" w:rsidR="00BB1DDE" w:rsidRDefault="00BB1DDE" w:rsidP="00BB1DDE">
      <w:pPr>
        <w:pStyle w:val="Heading1"/>
        <w:numPr>
          <w:ilvl w:val="0"/>
          <w:numId w:val="43"/>
        </w:numPr>
        <w:textAlignment w:val="auto"/>
      </w:pPr>
      <w:r>
        <w:t>Discussion</w:t>
      </w:r>
    </w:p>
    <w:p w14:paraId="4D870D09" w14:textId="77777777" w:rsidR="009372D2" w:rsidRDefault="009372D2" w:rsidP="009372D2">
      <w:r>
        <w:t>The packet latency can be reduced with a reduction of transport time of data and control by addressing the length of a TTI. The length of TTI has an impact on both the time for transmitting over the air and the processing time at the transmitter and the receiver. The length of a downlink TTI can be reduced, as compared to the 1ms subframe in LTE pre-Release 14, by defining the TTI to be constructed of less than 14 OFDM symbols. In downlink, the shortened TTI spans from 0.5ms down to 1 OFDM symbol.</w:t>
      </w:r>
    </w:p>
    <w:p w14:paraId="5A77F7AA" w14:textId="76CF10B9" w:rsidR="009372D2" w:rsidRDefault="009372D2" w:rsidP="009372D2">
      <w:pPr>
        <w:rPr>
          <w:lang w:val="en-US"/>
        </w:rPr>
      </w:pPr>
      <w:r>
        <w:rPr>
          <w:lang w:val="en-US"/>
        </w:rPr>
        <w:t>For the DL short TTI (</w:t>
      </w:r>
      <w:proofErr w:type="spellStart"/>
      <w:r>
        <w:rPr>
          <w:lang w:val="en-US"/>
        </w:rPr>
        <w:t>sTTI</w:t>
      </w:r>
      <w:proofErr w:type="spellEnd"/>
      <w:r>
        <w:rPr>
          <w:lang w:val="en-US"/>
        </w:rPr>
        <w:t xml:space="preserve">) it is important to enable fast scheduling to reach the lowest latencies, as discussed in </w:t>
      </w:r>
      <w:r w:rsidR="007C0DE4">
        <w:rPr>
          <w:lang w:val="en-US"/>
        </w:rPr>
        <w:fldChar w:fldCharType="begin"/>
      </w:r>
      <w:r w:rsidR="007C0DE4">
        <w:rPr>
          <w:lang w:val="en-US"/>
        </w:rPr>
        <w:instrText xml:space="preserve"> REF _Ref441739574 \r \h </w:instrText>
      </w:r>
      <w:r w:rsidR="007C0DE4">
        <w:rPr>
          <w:lang w:val="en-US"/>
        </w:rPr>
      </w:r>
      <w:r w:rsidR="007C0DE4">
        <w:rPr>
          <w:lang w:val="en-US"/>
        </w:rPr>
        <w:fldChar w:fldCharType="separate"/>
      </w:r>
      <w:r w:rsidR="007C0DE4">
        <w:rPr>
          <w:lang w:val="en-US"/>
        </w:rPr>
        <w:t>[1]</w:t>
      </w:r>
      <w:r w:rsidR="007C0DE4">
        <w:rPr>
          <w:lang w:val="en-US"/>
        </w:rPr>
        <w:fldChar w:fldCharType="end"/>
      </w:r>
      <w:r>
        <w:rPr>
          <w:lang w:val="en-US"/>
        </w:rPr>
        <w:t xml:space="preserve">. It is proposed that the fast scheduling is done in a short PDCCH channel (sPDCCH) inside the allocation for </w:t>
      </w:r>
      <w:proofErr w:type="spellStart"/>
      <w:r>
        <w:rPr>
          <w:lang w:val="en-US"/>
        </w:rPr>
        <w:t>sTTI</w:t>
      </w:r>
      <w:proofErr w:type="spellEnd"/>
      <w:r>
        <w:rPr>
          <w:lang w:val="en-US"/>
        </w:rPr>
        <w:t xml:space="preserve"> transmissions, the DL short TTI band. As discussed in</w:t>
      </w:r>
      <w:r w:rsidR="00D16698">
        <w:rPr>
          <w:lang w:val="en-US"/>
        </w:rPr>
        <w:t xml:space="preserve"> </w:t>
      </w:r>
      <w:r w:rsidR="00D16698">
        <w:rPr>
          <w:lang w:val="en-US"/>
        </w:rPr>
        <w:fldChar w:fldCharType="begin"/>
      </w:r>
      <w:r w:rsidR="00D16698">
        <w:rPr>
          <w:lang w:val="en-US"/>
        </w:rPr>
        <w:instrText xml:space="preserve"> REF _Ref447195391 \r \h </w:instrText>
      </w:r>
      <w:r w:rsidR="00D16698">
        <w:rPr>
          <w:lang w:val="en-US"/>
        </w:rPr>
      </w:r>
      <w:r w:rsidR="00D16698">
        <w:rPr>
          <w:lang w:val="en-US"/>
        </w:rPr>
        <w:fldChar w:fldCharType="separate"/>
      </w:r>
      <w:r w:rsidR="00D16698">
        <w:rPr>
          <w:lang w:val="en-US"/>
        </w:rPr>
        <w:t>[4]</w:t>
      </w:r>
      <w:r w:rsidR="00D16698">
        <w:rPr>
          <w:lang w:val="en-US"/>
        </w:rPr>
        <w:fldChar w:fldCharType="end"/>
      </w:r>
      <w:r>
        <w:rPr>
          <w:lang w:val="en-US"/>
        </w:rPr>
        <w:t xml:space="preserve">, new DCI formats for DL and UL scheduling information should be defined, with DCI payloads in the order of </w:t>
      </w:r>
      <w:r w:rsidR="004B3B03">
        <w:rPr>
          <w:lang w:val="en-US"/>
        </w:rPr>
        <w:t>30-</w:t>
      </w:r>
      <w:r>
        <w:rPr>
          <w:lang w:val="en-US"/>
        </w:rPr>
        <w:t>50 bits including CRC.</w:t>
      </w:r>
    </w:p>
    <w:p w14:paraId="476510B2" w14:textId="77777777" w:rsidR="009372D2" w:rsidRDefault="009372D2" w:rsidP="009759A6">
      <w:pPr>
        <w:pStyle w:val="Heading2"/>
        <w:rPr>
          <w:lang w:val="en-US"/>
        </w:rPr>
      </w:pPr>
      <w:r>
        <w:rPr>
          <w:lang w:val="en-US"/>
        </w:rPr>
        <w:t>Short PDCCH design</w:t>
      </w:r>
    </w:p>
    <w:p w14:paraId="0B3E51A3" w14:textId="69286DBA" w:rsidR="009372D2" w:rsidRDefault="009372D2" w:rsidP="009372D2">
      <w:pPr>
        <w:rPr>
          <w:lang w:val="en-US"/>
        </w:rPr>
      </w:pPr>
      <w:r>
        <w:rPr>
          <w:lang w:val="en-US"/>
        </w:rPr>
        <w:t>As discussed in</w:t>
      </w:r>
      <w:r w:rsidR="00D96B67">
        <w:rPr>
          <w:lang w:val="en-US"/>
        </w:rPr>
        <w:t xml:space="preserve"> </w:t>
      </w:r>
      <w:r w:rsidR="00D96B67">
        <w:rPr>
          <w:lang w:val="en-US"/>
        </w:rPr>
        <w:fldChar w:fldCharType="begin"/>
      </w:r>
      <w:r w:rsidR="00D96B67">
        <w:rPr>
          <w:lang w:val="en-US"/>
        </w:rPr>
        <w:instrText xml:space="preserve"> REF _Ref447200006 \r \h </w:instrText>
      </w:r>
      <w:r w:rsidR="00D96B67">
        <w:rPr>
          <w:lang w:val="en-US"/>
        </w:rPr>
      </w:r>
      <w:r w:rsidR="00D96B67">
        <w:rPr>
          <w:lang w:val="en-US"/>
        </w:rPr>
        <w:fldChar w:fldCharType="separate"/>
      </w:r>
      <w:r w:rsidR="00D96B67">
        <w:rPr>
          <w:lang w:val="en-US"/>
        </w:rPr>
        <w:t>[5]</w:t>
      </w:r>
      <w:r w:rsidR="00D96B67">
        <w:rPr>
          <w:lang w:val="en-US"/>
        </w:rPr>
        <w:fldChar w:fldCharType="end"/>
      </w:r>
      <w:r>
        <w:rPr>
          <w:lang w:val="en-US"/>
        </w:rPr>
        <w:t>, the downlink control signaling could be separated into slow and fast DCIs. The slow DCIs give e.g. the frequency allocation of a short TTI band, targeted to one or many UEs, and the fast DCI provides scheduling grants to individual UEs in the short TTI band.</w:t>
      </w:r>
      <w:r w:rsidR="00BD1174">
        <w:rPr>
          <w:lang w:val="en-US"/>
        </w:rPr>
        <w:t xml:space="preserve"> In order to work without requiring CRS transmissions, </w:t>
      </w:r>
      <w:proofErr w:type="spellStart"/>
      <w:r w:rsidR="00BD1174">
        <w:rPr>
          <w:lang w:val="en-US"/>
        </w:rPr>
        <w:t>sPDCCH</w:t>
      </w:r>
      <w:proofErr w:type="spellEnd"/>
      <w:r w:rsidR="00BD1174">
        <w:rPr>
          <w:lang w:val="en-US"/>
        </w:rPr>
        <w:t xml:space="preserve"> can be designed based on DMRS demodulation.</w:t>
      </w:r>
    </w:p>
    <w:p w14:paraId="6F09C6B3" w14:textId="00C178A1" w:rsidR="009E3E2F" w:rsidRDefault="009E3E2F" w:rsidP="009E3E2F">
      <w:pPr>
        <w:pStyle w:val="Proposal"/>
        <w:numPr>
          <w:ilvl w:val="0"/>
          <w:numId w:val="44"/>
        </w:numPr>
      </w:pPr>
      <w:bookmarkStart w:id="5" w:name="_Toc447282184"/>
      <w:bookmarkStart w:id="6" w:name="_Toc447282194"/>
      <w:bookmarkStart w:id="7" w:name="_Toc447282214"/>
      <w:bookmarkStart w:id="8" w:name="_Toc447282230"/>
      <w:bookmarkStart w:id="9" w:name="_Toc447282235"/>
      <w:r>
        <w:t>T</w:t>
      </w:r>
      <w:r w:rsidRPr="00BD1174">
        <w:t xml:space="preserve">o support short TTIs with both CRS-based demodulation as well as without dependence on CRS, two different </w:t>
      </w:r>
      <w:proofErr w:type="spellStart"/>
      <w:r w:rsidRPr="00BD1174">
        <w:t>sPDCCH</w:t>
      </w:r>
      <w:proofErr w:type="spellEnd"/>
      <w:r w:rsidRPr="00BD1174">
        <w:t xml:space="preserve"> schemes, one CRS-based and one DMRS-based, </w:t>
      </w:r>
      <w:r w:rsidR="009759A6">
        <w:t>will</w:t>
      </w:r>
      <w:r w:rsidR="009759A6" w:rsidRPr="00BD1174">
        <w:t xml:space="preserve"> </w:t>
      </w:r>
      <w:r w:rsidRPr="00BD1174">
        <w:t>be designed, similarly as PDCCH vs</w:t>
      </w:r>
      <w:r>
        <w:t xml:space="preserve"> EPDCCH.</w:t>
      </w:r>
      <w:bookmarkEnd w:id="5"/>
      <w:bookmarkEnd w:id="6"/>
      <w:bookmarkEnd w:id="7"/>
      <w:bookmarkEnd w:id="8"/>
      <w:bookmarkEnd w:id="9"/>
    </w:p>
    <w:p w14:paraId="46E8E0ED" w14:textId="77777777" w:rsidR="009E3E2F" w:rsidRPr="009E3E2F" w:rsidRDefault="009E3E2F" w:rsidP="009372D2"/>
    <w:p w14:paraId="0276253D" w14:textId="77777777" w:rsidR="00BD1174" w:rsidRPr="0069010F" w:rsidRDefault="00BD1174" w:rsidP="009759A6">
      <w:pPr>
        <w:pStyle w:val="Heading3"/>
        <w:rPr>
          <w:lang w:val="en-US"/>
        </w:rPr>
      </w:pPr>
      <w:r>
        <w:rPr>
          <w:lang w:val="en-US"/>
        </w:rPr>
        <w:t xml:space="preserve">CRS based </w:t>
      </w:r>
      <w:proofErr w:type="spellStart"/>
      <w:r>
        <w:rPr>
          <w:lang w:val="en-US"/>
        </w:rPr>
        <w:t>sPDCCH</w:t>
      </w:r>
      <w:proofErr w:type="spellEnd"/>
    </w:p>
    <w:p w14:paraId="2DC01649" w14:textId="77777777" w:rsidR="00BD1174" w:rsidRDefault="009372D2" w:rsidP="009372D2">
      <w:pPr>
        <w:rPr>
          <w:lang w:val="en-US"/>
        </w:rPr>
      </w:pPr>
      <w:r>
        <w:rPr>
          <w:lang w:val="en-US"/>
        </w:rPr>
        <w:t xml:space="preserve">In order to schedule DL and UL transmissions with short delays, it is proposed that each short TTI in DL can carry </w:t>
      </w:r>
      <w:proofErr w:type="gramStart"/>
      <w:r>
        <w:rPr>
          <w:lang w:val="en-US"/>
        </w:rPr>
        <w:t>an</w:t>
      </w:r>
      <w:proofErr w:type="gramEnd"/>
      <w:r>
        <w:rPr>
          <w:lang w:val="en-US"/>
        </w:rPr>
        <w:t xml:space="preserve"> sPDCCH. To facilitate fast reception of this control information, it is proposed to include it in the first symbol of each short TTI. To facilitate reuse of both coding and encoding chains, the sPDCCH is proposed to be designed in a similar way as the PDCCH, with aggregation levels of a certain number of CCEs, where each CCE occupies 36 RE. Similarly to PDCCH, the setup simulated in this paper is to have sPDCCH demodulated using CRS. </w:t>
      </w:r>
    </w:p>
    <w:p w14:paraId="01F34399" w14:textId="77777777" w:rsidR="009E3E2F" w:rsidRDefault="009E3E2F" w:rsidP="009E3E2F">
      <w:pPr>
        <w:pStyle w:val="Proposal"/>
        <w:numPr>
          <w:ilvl w:val="0"/>
          <w:numId w:val="44"/>
        </w:numPr>
      </w:pPr>
      <w:bookmarkStart w:id="10" w:name="_Toc447282185"/>
      <w:bookmarkStart w:id="11" w:name="_Toc447282195"/>
      <w:bookmarkStart w:id="12" w:name="_Toc447282215"/>
      <w:bookmarkStart w:id="13" w:name="_Toc447282231"/>
      <w:bookmarkStart w:id="14" w:name="_Toc447282236"/>
      <w:r>
        <w:t xml:space="preserve">The </w:t>
      </w:r>
      <w:proofErr w:type="spellStart"/>
      <w:r>
        <w:t>sPDCCH</w:t>
      </w:r>
      <w:proofErr w:type="spellEnd"/>
      <w:r>
        <w:t xml:space="preserve"> can be transmitted in first symbol of every short TTI, using rest of resources for data.</w:t>
      </w:r>
      <w:bookmarkEnd w:id="10"/>
      <w:bookmarkEnd w:id="11"/>
      <w:bookmarkEnd w:id="12"/>
      <w:bookmarkEnd w:id="13"/>
      <w:bookmarkEnd w:id="14"/>
    </w:p>
    <w:p w14:paraId="67F280CD" w14:textId="3A6EF9D3" w:rsidR="009372D2" w:rsidRDefault="009372D2" w:rsidP="009372D2">
      <w:pPr>
        <w:rPr>
          <w:lang w:val="en-US"/>
        </w:rPr>
      </w:pPr>
      <w:r>
        <w:rPr>
          <w:lang w:val="en-US"/>
        </w:rPr>
        <w:t>The RE used for the one or more CCEs are placed in the first symbol of each TTI, within the same frequency resources as assigned to the short PDSCH, which is configured by a slow grant. The exact location of the RE needs to be placed on RE not occupied by e.g. CRS. To gain from frequency diversity, it is also favorable to spread the RE over the short TTI band as much as possible, rather than have them e.g. localized in one end of the band.</w:t>
      </w:r>
      <w:r w:rsidR="009E3E2F">
        <w:rPr>
          <w:lang w:val="en-US"/>
        </w:rPr>
        <w:t xml:space="preserve"> Using a mapping similar to PDCCH will fulfill both these properties.</w:t>
      </w:r>
      <w:r w:rsidR="007C0DE4">
        <w:rPr>
          <w:lang w:val="en-US"/>
        </w:rPr>
        <w:t xml:space="preserve"> In </w:t>
      </w:r>
      <w:r w:rsidR="007C0DE4">
        <w:rPr>
          <w:lang w:val="en-US"/>
        </w:rPr>
        <w:fldChar w:fldCharType="begin"/>
      </w:r>
      <w:r w:rsidR="007C0DE4">
        <w:rPr>
          <w:lang w:val="en-US"/>
        </w:rPr>
        <w:instrText xml:space="preserve"> REF _Ref447283014 \r \h </w:instrText>
      </w:r>
      <w:r w:rsidR="007C0DE4">
        <w:rPr>
          <w:lang w:val="en-US"/>
        </w:rPr>
      </w:r>
      <w:r w:rsidR="007C0DE4">
        <w:rPr>
          <w:lang w:val="en-US"/>
        </w:rPr>
        <w:fldChar w:fldCharType="separate"/>
      </w:r>
      <w:r w:rsidR="007C0DE4">
        <w:rPr>
          <w:lang w:val="en-US"/>
        </w:rPr>
        <w:t>[4]</w:t>
      </w:r>
      <w:r w:rsidR="007C0DE4">
        <w:rPr>
          <w:lang w:val="en-US"/>
        </w:rPr>
        <w:fldChar w:fldCharType="end"/>
      </w:r>
      <w:r w:rsidR="007C0DE4">
        <w:rPr>
          <w:lang w:val="en-US"/>
        </w:rPr>
        <w:t xml:space="preserve">, this </w:t>
      </w:r>
      <w:proofErr w:type="spellStart"/>
      <w:r w:rsidR="007C0DE4">
        <w:rPr>
          <w:lang w:val="en-US"/>
        </w:rPr>
        <w:t>sPDCCH</w:t>
      </w:r>
      <w:proofErr w:type="spellEnd"/>
      <w:r w:rsidR="007C0DE4">
        <w:rPr>
          <w:lang w:val="en-US"/>
        </w:rPr>
        <w:t xml:space="preserve"> scheme is evaluated.</w:t>
      </w:r>
    </w:p>
    <w:p w14:paraId="3A8F57F7" w14:textId="3857B5DB" w:rsidR="009E3E2F" w:rsidRPr="009E3E2F" w:rsidRDefault="009E3E2F" w:rsidP="009E3E2F">
      <w:pPr>
        <w:pStyle w:val="Proposal"/>
        <w:numPr>
          <w:ilvl w:val="0"/>
          <w:numId w:val="44"/>
        </w:numPr>
      </w:pPr>
      <w:bookmarkStart w:id="15" w:name="_Toc447282186"/>
      <w:bookmarkStart w:id="16" w:name="_Toc447282196"/>
      <w:bookmarkStart w:id="17" w:name="_Toc447282216"/>
      <w:bookmarkStart w:id="18" w:name="_Toc447282232"/>
      <w:bookmarkStart w:id="19" w:name="_Toc447282237"/>
      <w:r>
        <w:t xml:space="preserve">Map </w:t>
      </w:r>
      <w:proofErr w:type="spellStart"/>
      <w:r>
        <w:t>sPDCCH</w:t>
      </w:r>
      <w:proofErr w:type="spellEnd"/>
      <w:r>
        <w:t xml:space="preserve"> to resource elements similarly as PDCCH</w:t>
      </w:r>
      <w:r w:rsidR="004B3B03">
        <w:t>, using CCEs and resource element groups</w:t>
      </w:r>
      <w:r>
        <w:t xml:space="preserve">, to </w:t>
      </w:r>
      <w:r w:rsidR="004B3B03">
        <w:t>improve</w:t>
      </w:r>
      <w:r>
        <w:t xml:space="preserve"> frequency diversity. </w:t>
      </w:r>
      <w:bookmarkEnd w:id="15"/>
      <w:bookmarkEnd w:id="16"/>
      <w:bookmarkEnd w:id="17"/>
      <w:bookmarkEnd w:id="18"/>
      <w:bookmarkEnd w:id="19"/>
    </w:p>
    <w:p w14:paraId="4813CC3F" w14:textId="77777777" w:rsidR="009E3E2F" w:rsidRPr="009E3E2F" w:rsidRDefault="009E3E2F" w:rsidP="009372D2"/>
    <w:p w14:paraId="448D6306" w14:textId="0C2766AC" w:rsidR="0069010F" w:rsidRDefault="0069010F" w:rsidP="009759A6">
      <w:pPr>
        <w:pStyle w:val="Heading3"/>
        <w:rPr>
          <w:lang w:val="en-US"/>
        </w:rPr>
      </w:pPr>
      <w:r>
        <w:rPr>
          <w:lang w:val="en-US"/>
        </w:rPr>
        <w:lastRenderedPageBreak/>
        <w:t xml:space="preserve">DMRS based </w:t>
      </w:r>
      <w:proofErr w:type="spellStart"/>
      <w:r>
        <w:rPr>
          <w:lang w:val="en-US"/>
        </w:rPr>
        <w:t>sPDCCH</w:t>
      </w:r>
      <w:proofErr w:type="spellEnd"/>
    </w:p>
    <w:p w14:paraId="74060773" w14:textId="465A3AA0" w:rsidR="009E3E2F" w:rsidRDefault="009E3E2F" w:rsidP="009E3E2F">
      <w:pPr>
        <w:rPr>
          <w:lang w:val="en-US"/>
        </w:rPr>
      </w:pPr>
      <w:r>
        <w:rPr>
          <w:lang w:val="en-US"/>
        </w:rPr>
        <w:t xml:space="preserve">Since more than one UE may receive control information in the same short TTI (e.g. one UE gets UL and the other UE gets DL scheduling), the </w:t>
      </w:r>
      <w:proofErr w:type="spellStart"/>
      <w:r>
        <w:rPr>
          <w:lang w:val="en-US"/>
        </w:rPr>
        <w:t>sPDCCH</w:t>
      </w:r>
      <w:proofErr w:type="spellEnd"/>
      <w:r>
        <w:rPr>
          <w:lang w:val="en-US"/>
        </w:rPr>
        <w:t xml:space="preserve"> can be transmitted with dedicated DMRS, that are used only for control channel demodulation.</w:t>
      </w:r>
      <w:r w:rsidR="0074305D">
        <w:rPr>
          <w:lang w:val="en-US"/>
        </w:rPr>
        <w:t xml:space="preserve"> </w:t>
      </w:r>
      <w:r w:rsidR="009759A6">
        <w:rPr>
          <w:lang w:val="en-US"/>
        </w:rPr>
        <w:t>Additionally</w:t>
      </w:r>
      <w:r w:rsidR="0074305D">
        <w:rPr>
          <w:lang w:val="en-US"/>
        </w:rPr>
        <w:t xml:space="preserve">, in order to limit the latency due to control channel decoding, it is preferable if a DMRS based </w:t>
      </w:r>
      <w:proofErr w:type="spellStart"/>
      <w:r w:rsidR="0074305D">
        <w:rPr>
          <w:lang w:val="en-US"/>
        </w:rPr>
        <w:t>sPDCCH</w:t>
      </w:r>
      <w:proofErr w:type="spellEnd"/>
      <w:r w:rsidR="0074305D">
        <w:rPr>
          <w:lang w:val="en-US"/>
        </w:rPr>
        <w:t xml:space="preserve"> does not cover the full TTI length, on contrary to e.g. the EPDCCH which occupies a full (subframe-length) TTI.</w:t>
      </w:r>
    </w:p>
    <w:p w14:paraId="387ED80C" w14:textId="4D2E313A" w:rsidR="0074305D" w:rsidRDefault="0074305D" w:rsidP="009E3E2F">
      <w:pPr>
        <w:rPr>
          <w:lang w:val="en-US"/>
        </w:rPr>
      </w:pPr>
      <w:r>
        <w:rPr>
          <w:lang w:val="en-US"/>
        </w:rPr>
        <w:t xml:space="preserve">To enable demodulation of the </w:t>
      </w:r>
      <w:proofErr w:type="spellStart"/>
      <w:r>
        <w:rPr>
          <w:lang w:val="en-US"/>
        </w:rPr>
        <w:t>sPDCCH</w:t>
      </w:r>
      <w:proofErr w:type="spellEnd"/>
      <w:r>
        <w:rPr>
          <w:lang w:val="en-US"/>
        </w:rPr>
        <w:t xml:space="preserve">, </w:t>
      </w:r>
      <w:r w:rsidR="00FC2AA5">
        <w:rPr>
          <w:lang w:val="en-US"/>
        </w:rPr>
        <w:t xml:space="preserve">the </w:t>
      </w:r>
      <w:proofErr w:type="spellStart"/>
      <w:r w:rsidR="00FC2AA5">
        <w:rPr>
          <w:lang w:val="en-US"/>
        </w:rPr>
        <w:t>sPDCCH</w:t>
      </w:r>
      <w:proofErr w:type="spellEnd"/>
      <w:r w:rsidR="00FC2AA5">
        <w:rPr>
          <w:lang w:val="en-US"/>
        </w:rPr>
        <w:t xml:space="preserve"> can be assigned dedicated DMRS pairs, used for a </w:t>
      </w:r>
      <w:proofErr w:type="spellStart"/>
      <w:r w:rsidR="00FC2AA5">
        <w:rPr>
          <w:lang w:val="en-US"/>
        </w:rPr>
        <w:t>sPDCCH</w:t>
      </w:r>
      <w:proofErr w:type="spellEnd"/>
      <w:r w:rsidR="00FC2AA5">
        <w:rPr>
          <w:lang w:val="en-US"/>
        </w:rPr>
        <w:t xml:space="preserve"> length of 2 symbols, independent of TTI length. </w:t>
      </w:r>
      <w:r w:rsidR="007432A9">
        <w:rPr>
          <w:lang w:val="en-US"/>
        </w:rPr>
        <w:t xml:space="preserve">For TTI lengths longer than 2 symbols, the remainder of the TTI (from the third symbol up to the end of the TTI) is used for data, with UE-specific DMRS sent in the data part. See </w:t>
      </w:r>
      <w:r w:rsidR="007432A9">
        <w:rPr>
          <w:lang w:val="en-US"/>
        </w:rPr>
        <w:fldChar w:fldCharType="begin"/>
      </w:r>
      <w:r w:rsidR="007432A9">
        <w:rPr>
          <w:lang w:val="en-US"/>
        </w:rPr>
        <w:instrText xml:space="preserve"> REF _Ref447100333 \h </w:instrText>
      </w:r>
      <w:r w:rsidR="007432A9">
        <w:rPr>
          <w:lang w:val="en-US"/>
        </w:rPr>
      </w:r>
      <w:r w:rsidR="007432A9">
        <w:rPr>
          <w:lang w:val="en-US"/>
        </w:rPr>
        <w:fldChar w:fldCharType="separate"/>
      </w:r>
      <w:r w:rsidR="007432A9">
        <w:t xml:space="preserve">Figure </w:t>
      </w:r>
      <w:r w:rsidR="007432A9">
        <w:rPr>
          <w:noProof/>
        </w:rPr>
        <w:t>3</w:t>
      </w:r>
      <w:r w:rsidR="007432A9">
        <w:rPr>
          <w:lang w:val="en-US"/>
        </w:rPr>
        <w:fldChar w:fldCharType="end"/>
      </w:r>
      <w:r w:rsidR="007432A9">
        <w:rPr>
          <w:lang w:val="en-US"/>
        </w:rPr>
        <w:t xml:space="preserve">. For the case with 3-symbols TTI, it is for further study whether the </w:t>
      </w:r>
      <w:proofErr w:type="spellStart"/>
      <w:r w:rsidR="007432A9">
        <w:rPr>
          <w:lang w:val="en-US"/>
        </w:rPr>
        <w:t>sPDCCH</w:t>
      </w:r>
      <w:proofErr w:type="spellEnd"/>
      <w:r w:rsidR="007432A9">
        <w:rPr>
          <w:lang w:val="en-US"/>
        </w:rPr>
        <w:t xml:space="preserve"> then should </w:t>
      </w:r>
      <w:r w:rsidR="004B3B03">
        <w:rPr>
          <w:lang w:val="en-US"/>
        </w:rPr>
        <w:t xml:space="preserve">be extended to </w:t>
      </w:r>
      <w:r w:rsidR="007432A9">
        <w:rPr>
          <w:lang w:val="en-US"/>
        </w:rPr>
        <w:t>cover the full TTI, or if the last single symbol should be used for data.</w:t>
      </w:r>
    </w:p>
    <w:p w14:paraId="1A8DFF64" w14:textId="77777777" w:rsidR="00863D1B" w:rsidRDefault="00535BEF" w:rsidP="00863D1B">
      <w:pPr>
        <w:keepNext/>
        <w:jc w:val="center"/>
      </w:pPr>
      <w:r>
        <w:rPr>
          <w:lang w:val="en-US"/>
        </w:rPr>
        <w:object w:dxaOrig="2010" w:dyaOrig="3615" w14:anchorId="55EFE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80.95pt" o:ole="">
            <v:imagedata r:id="rId9" o:title=""/>
          </v:shape>
          <o:OLEObject Type="Embed" ProgID="Excel.Sheet.12" ShapeID="_x0000_i1025" DrawAspect="Content" ObjectID="_1521039141" r:id="rId10"/>
        </w:object>
      </w:r>
    </w:p>
    <w:p w14:paraId="5E7CC7B3" w14:textId="243B8213" w:rsidR="009E3E2F" w:rsidRPr="009E3E2F" w:rsidRDefault="00863D1B" w:rsidP="00863D1B">
      <w:pPr>
        <w:pStyle w:val="Caption"/>
        <w:rPr>
          <w:lang w:val="en-US"/>
        </w:rPr>
      </w:pPr>
      <w:bookmarkStart w:id="20" w:name="_Ref447100333"/>
      <w:proofErr w:type="gramStart"/>
      <w:r>
        <w:t xml:space="preserve">Figure </w:t>
      </w:r>
      <w:r>
        <w:fldChar w:fldCharType="begin"/>
      </w:r>
      <w:r>
        <w:instrText xml:space="preserve"> SEQ Figure \* ARABIC </w:instrText>
      </w:r>
      <w:r>
        <w:fldChar w:fldCharType="separate"/>
      </w:r>
      <w:r>
        <w:rPr>
          <w:noProof/>
        </w:rPr>
        <w:t>3</w:t>
      </w:r>
      <w:r>
        <w:fldChar w:fldCharType="end"/>
      </w:r>
      <w:bookmarkEnd w:id="20"/>
      <w:r>
        <w:t>.</w:t>
      </w:r>
      <w:proofErr w:type="gramEnd"/>
      <w:r>
        <w:t xml:space="preserve"> </w:t>
      </w:r>
      <w:proofErr w:type="gramStart"/>
      <w:r>
        <w:t xml:space="preserve">7-symbols TTI where the first 2 symbols are used for </w:t>
      </w:r>
      <w:proofErr w:type="spellStart"/>
      <w:r>
        <w:t>sPDCCH</w:t>
      </w:r>
      <w:proofErr w:type="spellEnd"/>
      <w:r>
        <w:t>.</w:t>
      </w:r>
      <w:proofErr w:type="gramEnd"/>
      <w:r>
        <w:t xml:space="preserve"> The </w:t>
      </w:r>
      <w:proofErr w:type="spellStart"/>
      <w:r>
        <w:t>sPDCCH</w:t>
      </w:r>
      <w:proofErr w:type="spellEnd"/>
      <w:r>
        <w:t xml:space="preserve"> part and the PDSCH parts each have three individual DMRS pairs.</w:t>
      </w:r>
    </w:p>
    <w:p w14:paraId="5D442CFC" w14:textId="77777777" w:rsidR="009372D2" w:rsidRDefault="009372D2" w:rsidP="009372D2">
      <w:pPr>
        <w:rPr>
          <w:rFonts w:eastAsia="Calibri"/>
          <w:lang w:val="en-US" w:eastAsia="en-US"/>
        </w:rPr>
      </w:pPr>
    </w:p>
    <w:p w14:paraId="5BB2FDFE" w14:textId="77777777" w:rsidR="009372D2" w:rsidRPr="009372D2" w:rsidRDefault="009372D2" w:rsidP="009372D2">
      <w:pPr>
        <w:rPr>
          <w:lang w:val="en-US"/>
        </w:rPr>
      </w:pPr>
    </w:p>
    <w:p w14:paraId="449F667D" w14:textId="7D974390" w:rsidR="00BB1DDE" w:rsidRDefault="00863D1B" w:rsidP="00BB1DDE">
      <w:pPr>
        <w:pStyle w:val="Proposal"/>
        <w:numPr>
          <w:ilvl w:val="0"/>
          <w:numId w:val="44"/>
        </w:numPr>
        <w:textAlignment w:val="auto"/>
      </w:pPr>
      <w:bookmarkStart w:id="21" w:name="_Toc447282187"/>
      <w:bookmarkStart w:id="22" w:name="_Toc447282197"/>
      <w:bookmarkStart w:id="23" w:name="_Toc447282217"/>
      <w:bookmarkStart w:id="24" w:name="_Toc447282233"/>
      <w:bookmarkStart w:id="25" w:name="_Toc447282238"/>
      <w:r>
        <w:rPr>
          <w:lang w:val="en-US"/>
        </w:rPr>
        <w:t xml:space="preserve">Use a 2-symbol </w:t>
      </w:r>
      <w:proofErr w:type="spellStart"/>
      <w:r>
        <w:rPr>
          <w:lang w:val="en-US"/>
        </w:rPr>
        <w:t>sPDCCH</w:t>
      </w:r>
      <w:proofErr w:type="spellEnd"/>
      <w:r>
        <w:rPr>
          <w:lang w:val="en-US"/>
        </w:rPr>
        <w:t xml:space="preserve"> with dedicated DMRS for a number of PRBs, and use the rest of the TTI for data.</w:t>
      </w:r>
      <w:bookmarkEnd w:id="21"/>
      <w:bookmarkEnd w:id="22"/>
      <w:bookmarkEnd w:id="23"/>
      <w:bookmarkEnd w:id="24"/>
      <w:bookmarkEnd w:id="25"/>
    </w:p>
    <w:p w14:paraId="322B9AB5" w14:textId="77777777" w:rsidR="00BB1DDE" w:rsidRDefault="00BB1DDE" w:rsidP="00BB1DDE">
      <w:pPr>
        <w:rPr>
          <w:rFonts w:eastAsia="Calibri"/>
        </w:rPr>
      </w:pPr>
    </w:p>
    <w:p w14:paraId="4DDAEEAA" w14:textId="77777777" w:rsidR="00BB1DDE" w:rsidRDefault="00BB1DDE" w:rsidP="00BB1DDE">
      <w:pPr>
        <w:pStyle w:val="Heading1"/>
        <w:numPr>
          <w:ilvl w:val="0"/>
          <w:numId w:val="43"/>
        </w:numPr>
        <w:textAlignment w:val="auto"/>
        <w:rPr>
          <w:lang w:val="en-US"/>
        </w:rPr>
      </w:pPr>
      <w:r>
        <w:rPr>
          <w:lang w:val="en-US"/>
        </w:rPr>
        <w:t>Summary</w:t>
      </w:r>
    </w:p>
    <w:p w14:paraId="5CBB980E" w14:textId="0E87D628" w:rsidR="009372D2" w:rsidRDefault="009372D2" w:rsidP="009372D2">
      <w:r>
        <w:rPr>
          <w:noProof/>
        </w:rPr>
        <w:t>In this contribution we discussed</w:t>
      </w:r>
      <w:r>
        <w:t xml:space="preserve"> our views on the physical layer design for short TTIs in downlink transmissions</w:t>
      </w:r>
      <w:r>
        <w:rPr>
          <w:iCs/>
        </w:rPr>
        <w:t>.</w:t>
      </w:r>
      <w:r>
        <w:t xml:space="preserve"> The above discussion is summarized with the following proposals:</w:t>
      </w:r>
    </w:p>
    <w:p w14:paraId="5E0106CD" w14:textId="77777777" w:rsidR="0064691C" w:rsidRPr="00585F78" w:rsidRDefault="0064691C">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t>Proposal 1</w:t>
      </w:r>
      <w:r w:rsidRPr="00585F78">
        <w:rPr>
          <w:rFonts w:asciiTheme="minorHAnsi" w:eastAsiaTheme="minorEastAsia" w:hAnsiTheme="minorHAnsi" w:cstheme="minorBidi"/>
          <w:b w:val="0"/>
          <w:sz w:val="22"/>
          <w:lang w:eastAsia="sv-SE"/>
        </w:rPr>
        <w:tab/>
      </w:r>
      <w:r>
        <w:t>To support short TTIs with both CRS-based demodulation as well as without dependence on CRS, two different sPDCCH schemes, one CRS-based and one DMRS-based, will be designed, similarly as PDCCH vs EPDCCH.</w:t>
      </w:r>
    </w:p>
    <w:p w14:paraId="686EC627" w14:textId="77777777" w:rsidR="0064691C" w:rsidRPr="00585F78" w:rsidRDefault="0064691C">
      <w:pPr>
        <w:pStyle w:val="TOC1"/>
        <w:rPr>
          <w:rFonts w:asciiTheme="minorHAnsi" w:eastAsiaTheme="minorEastAsia" w:hAnsiTheme="minorHAnsi" w:cstheme="minorBidi"/>
          <w:b w:val="0"/>
          <w:sz w:val="22"/>
          <w:lang w:eastAsia="sv-SE"/>
        </w:rPr>
      </w:pPr>
      <w:r>
        <w:t>Proposal 2</w:t>
      </w:r>
      <w:r w:rsidRPr="00585F78">
        <w:rPr>
          <w:rFonts w:asciiTheme="minorHAnsi" w:eastAsiaTheme="minorEastAsia" w:hAnsiTheme="minorHAnsi" w:cstheme="minorBidi"/>
          <w:b w:val="0"/>
          <w:sz w:val="22"/>
          <w:lang w:eastAsia="sv-SE"/>
        </w:rPr>
        <w:tab/>
      </w:r>
      <w:r>
        <w:t>The sPDCCH can be transmitted in first symbol of every short TTI, using rest of resources for data.</w:t>
      </w:r>
    </w:p>
    <w:p w14:paraId="7CB4C4A5" w14:textId="77777777" w:rsidR="0064691C" w:rsidRPr="00585F78" w:rsidRDefault="0064691C">
      <w:pPr>
        <w:pStyle w:val="TOC1"/>
        <w:rPr>
          <w:rFonts w:asciiTheme="minorHAnsi" w:eastAsiaTheme="minorEastAsia" w:hAnsiTheme="minorHAnsi" w:cstheme="minorBidi"/>
          <w:b w:val="0"/>
          <w:sz w:val="22"/>
          <w:lang w:eastAsia="sv-SE"/>
        </w:rPr>
      </w:pPr>
      <w:r>
        <w:t>Proposal 3</w:t>
      </w:r>
      <w:r w:rsidRPr="00585F78">
        <w:rPr>
          <w:rFonts w:asciiTheme="minorHAnsi" w:eastAsiaTheme="minorEastAsia" w:hAnsiTheme="minorHAnsi" w:cstheme="minorBidi"/>
          <w:b w:val="0"/>
          <w:sz w:val="22"/>
          <w:lang w:eastAsia="sv-SE"/>
        </w:rPr>
        <w:tab/>
      </w:r>
      <w:r>
        <w:t xml:space="preserve">Map sPDCCH to resource elements similarly as PDCCH, using CCEs and resource element groups, to improve frequency diversity. </w:t>
      </w:r>
    </w:p>
    <w:p w14:paraId="3DE8DF29" w14:textId="77777777" w:rsidR="0064691C" w:rsidRPr="00585F78" w:rsidRDefault="0064691C">
      <w:pPr>
        <w:pStyle w:val="TOC1"/>
        <w:rPr>
          <w:rFonts w:asciiTheme="minorHAnsi" w:eastAsiaTheme="minorEastAsia" w:hAnsiTheme="minorHAnsi" w:cstheme="minorBidi"/>
          <w:b w:val="0"/>
          <w:sz w:val="22"/>
          <w:lang w:eastAsia="sv-SE"/>
        </w:rPr>
      </w:pPr>
      <w:r>
        <w:t>Proposal 4</w:t>
      </w:r>
      <w:r w:rsidRPr="00585F78">
        <w:rPr>
          <w:rFonts w:asciiTheme="minorHAnsi" w:eastAsiaTheme="minorEastAsia" w:hAnsiTheme="minorHAnsi" w:cstheme="minorBidi"/>
          <w:b w:val="0"/>
          <w:sz w:val="22"/>
          <w:lang w:eastAsia="sv-SE"/>
        </w:rPr>
        <w:tab/>
      </w:r>
      <w:r w:rsidRPr="008D63C1">
        <w:t>Use a 2-symbol sPDCCH with dedicated DMRS for a number of PRBs, and use the rest of the TTI for data.</w:t>
      </w:r>
    </w:p>
    <w:p w14:paraId="4846C1BF" w14:textId="7B64B1C3" w:rsidR="0064691C" w:rsidRDefault="0064691C" w:rsidP="0064691C">
      <w:pPr>
        <w:rPr>
          <w:iCs/>
        </w:rPr>
      </w:pPr>
      <w:r>
        <w:rPr>
          <w:b/>
          <w:bCs/>
        </w:rPr>
        <w:fldChar w:fldCharType="end"/>
      </w:r>
    </w:p>
    <w:p w14:paraId="27B1D0A8" w14:textId="77777777" w:rsidR="003730EF" w:rsidRDefault="003730EF" w:rsidP="00193A16">
      <w:pPr>
        <w:rPr>
          <w:rFonts w:eastAsia="Calibri"/>
          <w:lang w:val="en-US" w:eastAsia="en-US"/>
        </w:rPr>
      </w:pPr>
    </w:p>
    <w:p w14:paraId="047FD24B" w14:textId="77777777" w:rsidR="00D00AE7" w:rsidRPr="00A742FA" w:rsidRDefault="00D00AE7" w:rsidP="00D00AE7">
      <w:pPr>
        <w:pStyle w:val="Heading1"/>
        <w:rPr>
          <w:lang w:val="en-US"/>
        </w:rPr>
      </w:pPr>
      <w:r w:rsidRPr="00A742FA">
        <w:rPr>
          <w:lang w:val="en-US"/>
        </w:rPr>
        <w:lastRenderedPageBreak/>
        <w:t>Reference</w:t>
      </w:r>
      <w:r>
        <w:rPr>
          <w:lang w:val="en-US"/>
        </w:rPr>
        <w:t>s</w:t>
      </w:r>
    </w:p>
    <w:p w14:paraId="005819D7" w14:textId="77777777" w:rsidR="00BF2E38" w:rsidRDefault="00BF2E38" w:rsidP="00BF2E38">
      <w:pPr>
        <w:pStyle w:val="Reference"/>
        <w:keepNext/>
        <w:keepLines/>
        <w:rPr>
          <w:lang w:val="en-US"/>
        </w:rPr>
      </w:pPr>
      <w:bookmarkStart w:id="26" w:name="_Ref441739574"/>
      <w:r w:rsidRPr="00AD5D7E">
        <w:rPr>
          <w:rFonts w:cs="Arial"/>
          <w:bCs/>
          <w:noProof/>
          <w:szCs w:val="18"/>
          <w:lang w:val="en-US"/>
        </w:rPr>
        <w:t>R1-157146</w:t>
      </w:r>
      <w:r>
        <w:rPr>
          <w:rFonts w:cs="Arial"/>
          <w:bCs/>
          <w:noProof/>
          <w:szCs w:val="18"/>
          <w:lang w:val="en-US"/>
        </w:rPr>
        <w:t xml:space="preserve">, </w:t>
      </w:r>
      <w:r w:rsidRPr="00AD5D7E">
        <w:rPr>
          <w:lang w:val="en-US"/>
        </w:rPr>
        <w:t>Overview of TTI shortening</w:t>
      </w:r>
      <w:r>
        <w:rPr>
          <w:lang w:val="en-US"/>
        </w:rPr>
        <w:t>, Ericsson, RAN1#83, November 2015.</w:t>
      </w:r>
      <w:bookmarkEnd w:id="26"/>
    </w:p>
    <w:p w14:paraId="1AFEBAA1" w14:textId="3CB990ED" w:rsidR="00D16698" w:rsidRDefault="00BA7AF0" w:rsidP="00BA7AF0">
      <w:pPr>
        <w:pStyle w:val="Reference"/>
        <w:rPr>
          <w:lang w:val="en-US"/>
        </w:rPr>
      </w:pPr>
      <w:bookmarkStart w:id="27" w:name="_Ref447195391"/>
      <w:r>
        <w:rPr>
          <w:lang w:val="en-US"/>
        </w:rPr>
        <w:t>R1-163323</w:t>
      </w:r>
      <w:r w:rsidR="00D16698">
        <w:rPr>
          <w:lang w:val="en-US"/>
        </w:rPr>
        <w:t xml:space="preserve">, </w:t>
      </w:r>
      <w:r w:rsidRPr="00BA7AF0">
        <w:rPr>
          <w:lang w:val="en-US"/>
        </w:rPr>
        <w:t>Definition of DCI bit fields for short TTI</w:t>
      </w:r>
      <w:r w:rsidR="00D16698">
        <w:rPr>
          <w:lang w:val="en-US"/>
        </w:rPr>
        <w:t>, Ericsson, RAN1#84bis, April 2016</w:t>
      </w:r>
      <w:bookmarkEnd w:id="27"/>
    </w:p>
    <w:p w14:paraId="7C26DD15" w14:textId="578F53F5" w:rsidR="00D96B67" w:rsidRDefault="00BA7AF0" w:rsidP="00BA7AF0">
      <w:pPr>
        <w:pStyle w:val="Reference"/>
        <w:rPr>
          <w:lang w:val="en-US"/>
        </w:rPr>
      </w:pPr>
      <w:bookmarkStart w:id="28" w:name="_Ref447200006"/>
      <w:r>
        <w:rPr>
          <w:lang w:val="en-US"/>
        </w:rPr>
        <w:t>R1-163322</w:t>
      </w:r>
      <w:r w:rsidR="00D96B67">
        <w:rPr>
          <w:lang w:val="en-US"/>
        </w:rPr>
        <w:t xml:space="preserve">, </w:t>
      </w:r>
      <w:r w:rsidRPr="00BA7AF0">
        <w:rPr>
          <w:lang w:val="en-US"/>
        </w:rPr>
        <w:t>Downlink control signaling design for short TTI</w:t>
      </w:r>
      <w:r w:rsidR="00D96B67">
        <w:rPr>
          <w:lang w:val="en-US"/>
        </w:rPr>
        <w:t>, Ericsson, RAN1#84bis, April 2016</w:t>
      </w:r>
      <w:bookmarkEnd w:id="28"/>
    </w:p>
    <w:p w14:paraId="45A15D0C" w14:textId="6EA48B1D" w:rsidR="007C0DE4" w:rsidRDefault="00BA7AF0" w:rsidP="00D96B67">
      <w:pPr>
        <w:pStyle w:val="Reference"/>
        <w:keepNext/>
        <w:keepLines/>
        <w:rPr>
          <w:lang w:val="en-US"/>
        </w:rPr>
      </w:pPr>
      <w:bookmarkStart w:id="29" w:name="_Ref447283014"/>
      <w:r>
        <w:rPr>
          <w:lang w:val="en-US"/>
        </w:rPr>
        <w:t>R1-163315</w:t>
      </w:r>
      <w:r w:rsidR="007C0DE4">
        <w:rPr>
          <w:lang w:val="en-US"/>
        </w:rPr>
        <w:t xml:space="preserve">, </w:t>
      </w:r>
      <w:r w:rsidR="007C0DE4" w:rsidRPr="005023D8">
        <w:rPr>
          <w:lang w:val="en-US"/>
        </w:rPr>
        <w:t>Link evaluation for PDCCH for short TTI</w:t>
      </w:r>
      <w:r w:rsidR="007C0DE4">
        <w:rPr>
          <w:lang w:val="en-US"/>
        </w:rPr>
        <w:t>, Ericsson, RAN1#84bis, April 2016</w:t>
      </w:r>
      <w:bookmarkEnd w:id="29"/>
    </w:p>
    <w:p w14:paraId="4BF7CAAB" w14:textId="77777777" w:rsidR="00D96B67" w:rsidRPr="005D41B0" w:rsidRDefault="00D96B67" w:rsidP="00D96B67">
      <w:pPr>
        <w:pStyle w:val="Reference"/>
        <w:numPr>
          <w:ilvl w:val="0"/>
          <w:numId w:val="0"/>
        </w:numPr>
        <w:rPr>
          <w:lang w:val="en-US"/>
        </w:rPr>
      </w:pPr>
    </w:p>
    <w:p w14:paraId="6A25646E" w14:textId="77777777" w:rsidR="007A0B6A" w:rsidRDefault="007A0B6A" w:rsidP="00D16698">
      <w:pPr>
        <w:pStyle w:val="Reference"/>
        <w:keepNext/>
        <w:keepLines/>
        <w:numPr>
          <w:ilvl w:val="0"/>
          <w:numId w:val="0"/>
        </w:numPr>
        <w:ind w:left="567"/>
        <w:rPr>
          <w:lang w:val="en-US"/>
        </w:rPr>
      </w:pPr>
    </w:p>
    <w:p w14:paraId="72996E4F" w14:textId="77777777" w:rsidR="00AF2D03" w:rsidRDefault="00AF2D03" w:rsidP="00D00AE7">
      <w:pPr>
        <w:rPr>
          <w:lang w:val="en-US"/>
        </w:rPr>
      </w:pPr>
    </w:p>
    <w:p w14:paraId="562434BC" w14:textId="77777777" w:rsidR="000F43F8" w:rsidRDefault="000F43F8">
      <w:pPr>
        <w:rPr>
          <w:rFonts w:eastAsia="Calibri"/>
          <w:lang w:val="en-US"/>
        </w:rPr>
      </w:pPr>
    </w:p>
    <w:sectPr w:rsidR="000F43F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64A182" w15:done="0"/>
  <w15:commentEx w15:paraId="1C226C1F" w15:done="0"/>
  <w15:commentEx w15:paraId="569914A1" w15:done="0"/>
  <w15:commentEx w15:paraId="6098F18A" w15:done="0"/>
  <w15:commentEx w15:paraId="5F0AA43F" w15:done="0"/>
  <w15:commentEx w15:paraId="5E9A8DF4" w15:done="0"/>
  <w15:commentEx w15:paraId="090523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7CB82" w14:textId="77777777" w:rsidR="00120FC2" w:rsidRDefault="00120FC2">
      <w:r>
        <w:separator/>
      </w:r>
    </w:p>
  </w:endnote>
  <w:endnote w:type="continuationSeparator" w:id="0">
    <w:p w14:paraId="042F86F4" w14:textId="77777777" w:rsidR="00120FC2" w:rsidRDefault="0012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5E53B2" w:rsidRDefault="005E53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7A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A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C6E71" w14:textId="77777777" w:rsidR="00120FC2" w:rsidRDefault="00120FC2">
      <w:r>
        <w:separator/>
      </w:r>
    </w:p>
  </w:footnote>
  <w:footnote w:type="continuationSeparator" w:id="0">
    <w:p w14:paraId="2803893A" w14:textId="77777777" w:rsidR="00120FC2" w:rsidRDefault="00120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5E53B2" w:rsidRDefault="005E53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2C6934"/>
    <w:multiLevelType w:val="hybridMultilevel"/>
    <w:tmpl w:val="75F49606"/>
    <w:lvl w:ilvl="0" w:tplc="E9DC5752">
      <w:start w:val="1"/>
      <w:numFmt w:val="bullet"/>
      <w:lvlText w:val="›"/>
      <w:lvlJc w:val="left"/>
      <w:pPr>
        <w:tabs>
          <w:tab w:val="num" w:pos="720"/>
        </w:tabs>
        <w:ind w:left="720" w:hanging="360"/>
      </w:pPr>
      <w:rPr>
        <w:rFonts w:ascii="Ericsson Capital TT" w:hAnsi="Ericsson Capital TT" w:hint="default"/>
      </w:rPr>
    </w:lvl>
    <w:lvl w:ilvl="1" w:tplc="72FEEA0C" w:tentative="1">
      <w:start w:val="1"/>
      <w:numFmt w:val="bullet"/>
      <w:lvlText w:val="›"/>
      <w:lvlJc w:val="left"/>
      <w:pPr>
        <w:tabs>
          <w:tab w:val="num" w:pos="1440"/>
        </w:tabs>
        <w:ind w:left="1440" w:hanging="360"/>
      </w:pPr>
      <w:rPr>
        <w:rFonts w:ascii="Ericsson Capital TT" w:hAnsi="Ericsson Capital TT" w:hint="default"/>
      </w:rPr>
    </w:lvl>
    <w:lvl w:ilvl="2" w:tplc="659A34FA">
      <w:start w:val="1"/>
      <w:numFmt w:val="bullet"/>
      <w:lvlText w:val="›"/>
      <w:lvlJc w:val="left"/>
      <w:pPr>
        <w:tabs>
          <w:tab w:val="num" w:pos="2160"/>
        </w:tabs>
        <w:ind w:left="2160" w:hanging="360"/>
      </w:pPr>
      <w:rPr>
        <w:rFonts w:ascii="Ericsson Capital TT" w:hAnsi="Ericsson Capital TT" w:hint="default"/>
      </w:rPr>
    </w:lvl>
    <w:lvl w:ilvl="3" w:tplc="E040B932">
      <w:start w:val="57"/>
      <w:numFmt w:val="bullet"/>
      <w:lvlText w:val="-"/>
      <w:lvlJc w:val="left"/>
      <w:pPr>
        <w:tabs>
          <w:tab w:val="num" w:pos="2880"/>
        </w:tabs>
        <w:ind w:left="2880" w:hanging="360"/>
      </w:pPr>
      <w:rPr>
        <w:rFonts w:ascii="Ericsson Capital TT" w:hAnsi="Ericsson Capital TT" w:hint="default"/>
      </w:rPr>
    </w:lvl>
    <w:lvl w:ilvl="4" w:tplc="62E672AC">
      <w:start w:val="57"/>
      <w:numFmt w:val="bullet"/>
      <w:lvlText w:val="›"/>
      <w:lvlJc w:val="left"/>
      <w:pPr>
        <w:tabs>
          <w:tab w:val="num" w:pos="3600"/>
        </w:tabs>
        <w:ind w:left="3600" w:hanging="360"/>
      </w:pPr>
      <w:rPr>
        <w:rFonts w:ascii="Ericsson Capital TT" w:hAnsi="Ericsson Capital TT" w:hint="default"/>
      </w:rPr>
    </w:lvl>
    <w:lvl w:ilvl="5" w:tplc="BCD01E46" w:tentative="1">
      <w:start w:val="1"/>
      <w:numFmt w:val="bullet"/>
      <w:lvlText w:val="›"/>
      <w:lvlJc w:val="left"/>
      <w:pPr>
        <w:tabs>
          <w:tab w:val="num" w:pos="4320"/>
        </w:tabs>
        <w:ind w:left="4320" w:hanging="360"/>
      </w:pPr>
      <w:rPr>
        <w:rFonts w:ascii="Ericsson Capital TT" w:hAnsi="Ericsson Capital TT" w:hint="default"/>
      </w:rPr>
    </w:lvl>
    <w:lvl w:ilvl="6" w:tplc="C15EBD44" w:tentative="1">
      <w:start w:val="1"/>
      <w:numFmt w:val="bullet"/>
      <w:lvlText w:val="›"/>
      <w:lvlJc w:val="left"/>
      <w:pPr>
        <w:tabs>
          <w:tab w:val="num" w:pos="5040"/>
        </w:tabs>
        <w:ind w:left="5040" w:hanging="360"/>
      </w:pPr>
      <w:rPr>
        <w:rFonts w:ascii="Ericsson Capital TT" w:hAnsi="Ericsson Capital TT" w:hint="default"/>
      </w:rPr>
    </w:lvl>
    <w:lvl w:ilvl="7" w:tplc="52C22F94" w:tentative="1">
      <w:start w:val="1"/>
      <w:numFmt w:val="bullet"/>
      <w:lvlText w:val="›"/>
      <w:lvlJc w:val="left"/>
      <w:pPr>
        <w:tabs>
          <w:tab w:val="num" w:pos="5760"/>
        </w:tabs>
        <w:ind w:left="5760" w:hanging="360"/>
      </w:pPr>
      <w:rPr>
        <w:rFonts w:ascii="Ericsson Capital TT" w:hAnsi="Ericsson Capital TT" w:hint="default"/>
      </w:rPr>
    </w:lvl>
    <w:lvl w:ilvl="8" w:tplc="BE404574"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B7F2F06"/>
    <w:multiLevelType w:val="hybridMultilevel"/>
    <w:tmpl w:val="32A06C94"/>
    <w:lvl w:ilvl="0" w:tplc="AD8A35B0">
      <w:numFmt w:val="bullet"/>
      <w:lvlText w:val="•"/>
      <w:lvlJc w:val="left"/>
      <w:pPr>
        <w:ind w:left="930" w:hanging="57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5"/>
  </w:num>
  <w:num w:numId="6">
    <w:abstractNumId w:val="20"/>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1"/>
  </w:num>
  <w:num w:numId="15">
    <w:abstractNumId w:val="8"/>
  </w:num>
  <w:num w:numId="16">
    <w:abstractNumId w:val="23"/>
  </w:num>
  <w:num w:numId="17">
    <w:abstractNumId w:val="19"/>
  </w:num>
  <w:num w:numId="18">
    <w:abstractNumId w:val="25"/>
  </w:num>
  <w:num w:numId="19">
    <w:abstractNumId w:val="26"/>
  </w:num>
  <w:num w:numId="20">
    <w:abstractNumId w:val="10"/>
  </w:num>
  <w:num w:numId="21">
    <w:abstractNumId w:val="31"/>
  </w:num>
  <w:num w:numId="22">
    <w:abstractNumId w:val="29"/>
  </w:num>
  <w:num w:numId="23">
    <w:abstractNumId w:val="13"/>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30"/>
  </w:num>
  <w:num w:numId="29">
    <w:abstractNumId w:val="34"/>
  </w:num>
  <w:num w:numId="30">
    <w:abstractNumId w:val="33"/>
  </w:num>
  <w:num w:numId="31">
    <w:abstractNumId w:val="28"/>
  </w:num>
  <w:num w:numId="32">
    <w:abstractNumId w:val="32"/>
  </w:num>
  <w:num w:numId="33">
    <w:abstractNumId w:val="4"/>
  </w:num>
  <w:num w:numId="34">
    <w:abstractNumId w:val="36"/>
  </w:num>
  <w:num w:numId="35">
    <w:abstractNumId w:val="5"/>
  </w:num>
  <w:num w:numId="36">
    <w:abstractNumId w:val="7"/>
  </w:num>
  <w:num w:numId="37">
    <w:abstractNumId w:val="24"/>
    <w:lvlOverride w:ilvl="0">
      <w:startOverride w:val="1"/>
    </w:lvlOverride>
  </w:num>
  <w:num w:numId="38">
    <w:abstractNumId w:val="12"/>
  </w:num>
  <w:num w:numId="39">
    <w:abstractNumId w:val="11"/>
  </w:num>
  <w:num w:numId="40">
    <w:abstractNumId w:val="24"/>
    <w:lvlOverride w:ilvl="0">
      <w:startOverride w:val="1"/>
    </w:lvlOverride>
  </w:num>
  <w:num w:numId="41">
    <w:abstractNumId w:val="37"/>
  </w:num>
  <w:num w:numId="42">
    <w:abstractNumId w:val="35"/>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9"/>
  </w:num>
  <w:num w:numId="50">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6EDC"/>
    <w:rsid w:val="00007CDC"/>
    <w:rsid w:val="0001115E"/>
    <w:rsid w:val="00011B28"/>
    <w:rsid w:val="00012CA8"/>
    <w:rsid w:val="00013FC9"/>
    <w:rsid w:val="00015D15"/>
    <w:rsid w:val="00023678"/>
    <w:rsid w:val="00024170"/>
    <w:rsid w:val="00025347"/>
    <w:rsid w:val="0002564D"/>
    <w:rsid w:val="00025ECA"/>
    <w:rsid w:val="000325B8"/>
    <w:rsid w:val="00034C15"/>
    <w:rsid w:val="000364B8"/>
    <w:rsid w:val="00036BA1"/>
    <w:rsid w:val="00040292"/>
    <w:rsid w:val="00041962"/>
    <w:rsid w:val="000422E2"/>
    <w:rsid w:val="00042F22"/>
    <w:rsid w:val="0004395C"/>
    <w:rsid w:val="00043F68"/>
    <w:rsid w:val="000444EF"/>
    <w:rsid w:val="0005087C"/>
    <w:rsid w:val="000511F7"/>
    <w:rsid w:val="00052A07"/>
    <w:rsid w:val="000534E3"/>
    <w:rsid w:val="00053D03"/>
    <w:rsid w:val="0005606A"/>
    <w:rsid w:val="00057117"/>
    <w:rsid w:val="000609B7"/>
    <w:rsid w:val="000616E7"/>
    <w:rsid w:val="0006487E"/>
    <w:rsid w:val="00065E1A"/>
    <w:rsid w:val="0007092F"/>
    <w:rsid w:val="0007094A"/>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1B7B"/>
    <w:rsid w:val="000A1EA1"/>
    <w:rsid w:val="000A36C3"/>
    <w:rsid w:val="000A56F2"/>
    <w:rsid w:val="000B02E5"/>
    <w:rsid w:val="000B2719"/>
    <w:rsid w:val="000B3A8F"/>
    <w:rsid w:val="000B4AB9"/>
    <w:rsid w:val="000B58C3"/>
    <w:rsid w:val="000B61E9"/>
    <w:rsid w:val="000C038F"/>
    <w:rsid w:val="000C165A"/>
    <w:rsid w:val="000C27C5"/>
    <w:rsid w:val="000C2E19"/>
    <w:rsid w:val="000C3B9C"/>
    <w:rsid w:val="000C7397"/>
    <w:rsid w:val="000D0D07"/>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A20"/>
    <w:rsid w:val="00110233"/>
    <w:rsid w:val="00113CF4"/>
    <w:rsid w:val="001153EA"/>
    <w:rsid w:val="00115643"/>
    <w:rsid w:val="00115E25"/>
    <w:rsid w:val="001163DE"/>
    <w:rsid w:val="00116765"/>
    <w:rsid w:val="001174B9"/>
    <w:rsid w:val="00120FC2"/>
    <w:rsid w:val="001219F5"/>
    <w:rsid w:val="00121A20"/>
    <w:rsid w:val="0012377F"/>
    <w:rsid w:val="00124314"/>
    <w:rsid w:val="00125CE0"/>
    <w:rsid w:val="00126B4A"/>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59C1"/>
    <w:rsid w:val="0016637B"/>
    <w:rsid w:val="00170C54"/>
    <w:rsid w:val="00173A8E"/>
    <w:rsid w:val="0018143F"/>
    <w:rsid w:val="0018777E"/>
    <w:rsid w:val="001906F8"/>
    <w:rsid w:val="00190AC1"/>
    <w:rsid w:val="00192423"/>
    <w:rsid w:val="0019259A"/>
    <w:rsid w:val="001928FD"/>
    <w:rsid w:val="0019341A"/>
    <w:rsid w:val="00193A16"/>
    <w:rsid w:val="00193BF3"/>
    <w:rsid w:val="001955A4"/>
    <w:rsid w:val="00196C01"/>
    <w:rsid w:val="00197DF9"/>
    <w:rsid w:val="001A1987"/>
    <w:rsid w:val="001A2564"/>
    <w:rsid w:val="001A2B06"/>
    <w:rsid w:val="001A6173"/>
    <w:rsid w:val="001A6CBA"/>
    <w:rsid w:val="001B0579"/>
    <w:rsid w:val="001B0D97"/>
    <w:rsid w:val="001B189A"/>
    <w:rsid w:val="001B5A5D"/>
    <w:rsid w:val="001C1632"/>
    <w:rsid w:val="001C1CE5"/>
    <w:rsid w:val="001C3D2A"/>
    <w:rsid w:val="001D51BA"/>
    <w:rsid w:val="001D61A9"/>
    <w:rsid w:val="001D6342"/>
    <w:rsid w:val="001D6D53"/>
    <w:rsid w:val="001E0114"/>
    <w:rsid w:val="001E09BB"/>
    <w:rsid w:val="001E114A"/>
    <w:rsid w:val="001E1DF8"/>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1380"/>
    <w:rsid w:val="002224DB"/>
    <w:rsid w:val="002231CD"/>
    <w:rsid w:val="00223FCB"/>
    <w:rsid w:val="002252C3"/>
    <w:rsid w:val="00225C54"/>
    <w:rsid w:val="00230765"/>
    <w:rsid w:val="002319E4"/>
    <w:rsid w:val="00232211"/>
    <w:rsid w:val="00233F86"/>
    <w:rsid w:val="00235632"/>
    <w:rsid w:val="00235872"/>
    <w:rsid w:val="00236AE2"/>
    <w:rsid w:val="00237465"/>
    <w:rsid w:val="00240E69"/>
    <w:rsid w:val="00241559"/>
    <w:rsid w:val="002435B3"/>
    <w:rsid w:val="002458EB"/>
    <w:rsid w:val="002500C8"/>
    <w:rsid w:val="00250B2A"/>
    <w:rsid w:val="002554E9"/>
    <w:rsid w:val="00255D91"/>
    <w:rsid w:val="00257543"/>
    <w:rsid w:val="00257C94"/>
    <w:rsid w:val="002617E7"/>
    <w:rsid w:val="00262E21"/>
    <w:rsid w:val="00263A3F"/>
    <w:rsid w:val="00264228"/>
    <w:rsid w:val="00264334"/>
    <w:rsid w:val="0026473E"/>
    <w:rsid w:val="0026612E"/>
    <w:rsid w:val="00266214"/>
    <w:rsid w:val="00266F8A"/>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CFA"/>
    <w:rsid w:val="002A7746"/>
    <w:rsid w:val="002A778C"/>
    <w:rsid w:val="002A7E72"/>
    <w:rsid w:val="002B24D6"/>
    <w:rsid w:val="002C1219"/>
    <w:rsid w:val="002C41E6"/>
    <w:rsid w:val="002D04B8"/>
    <w:rsid w:val="002D071A"/>
    <w:rsid w:val="002D13DA"/>
    <w:rsid w:val="002D34B2"/>
    <w:rsid w:val="002D3E97"/>
    <w:rsid w:val="002D4825"/>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501F"/>
    <w:rsid w:val="00306134"/>
    <w:rsid w:val="00307BA1"/>
    <w:rsid w:val="00311702"/>
    <w:rsid w:val="00311E82"/>
    <w:rsid w:val="00313FD6"/>
    <w:rsid w:val="003140FC"/>
    <w:rsid w:val="003143BD"/>
    <w:rsid w:val="003203ED"/>
    <w:rsid w:val="0032131B"/>
    <w:rsid w:val="00321C4F"/>
    <w:rsid w:val="00322C9F"/>
    <w:rsid w:val="0032460C"/>
    <w:rsid w:val="00324D23"/>
    <w:rsid w:val="00325A36"/>
    <w:rsid w:val="00331751"/>
    <w:rsid w:val="00331C1E"/>
    <w:rsid w:val="00334172"/>
    <w:rsid w:val="00334579"/>
    <w:rsid w:val="00335858"/>
    <w:rsid w:val="00336BDA"/>
    <w:rsid w:val="00342681"/>
    <w:rsid w:val="00342BD7"/>
    <w:rsid w:val="0034324A"/>
    <w:rsid w:val="00346DB5"/>
    <w:rsid w:val="00347407"/>
    <w:rsid w:val="003477B1"/>
    <w:rsid w:val="00350057"/>
    <w:rsid w:val="00354011"/>
    <w:rsid w:val="00357380"/>
    <w:rsid w:val="003602D9"/>
    <w:rsid w:val="003604CE"/>
    <w:rsid w:val="00367803"/>
    <w:rsid w:val="00370E47"/>
    <w:rsid w:val="00372A03"/>
    <w:rsid w:val="003730EF"/>
    <w:rsid w:val="003742AC"/>
    <w:rsid w:val="0037443C"/>
    <w:rsid w:val="003744A0"/>
    <w:rsid w:val="00377CE1"/>
    <w:rsid w:val="00383C85"/>
    <w:rsid w:val="00385714"/>
    <w:rsid w:val="00385BF0"/>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D5FE9"/>
    <w:rsid w:val="003E15FA"/>
    <w:rsid w:val="003E2CCC"/>
    <w:rsid w:val="003E55E4"/>
    <w:rsid w:val="003E5BD2"/>
    <w:rsid w:val="003E6322"/>
    <w:rsid w:val="003E74E3"/>
    <w:rsid w:val="003F05C7"/>
    <w:rsid w:val="003F2BBC"/>
    <w:rsid w:val="003F2CD4"/>
    <w:rsid w:val="003F3012"/>
    <w:rsid w:val="003F6BBE"/>
    <w:rsid w:val="004000E8"/>
    <w:rsid w:val="00402E2B"/>
    <w:rsid w:val="0040512B"/>
    <w:rsid w:val="00405CA5"/>
    <w:rsid w:val="00405D5F"/>
    <w:rsid w:val="00407AB5"/>
    <w:rsid w:val="00407CD3"/>
    <w:rsid w:val="00410134"/>
    <w:rsid w:val="00410B72"/>
    <w:rsid w:val="00410F18"/>
    <w:rsid w:val="004117A3"/>
    <w:rsid w:val="0041263E"/>
    <w:rsid w:val="0041398A"/>
    <w:rsid w:val="00413AAC"/>
    <w:rsid w:val="00414717"/>
    <w:rsid w:val="00421105"/>
    <w:rsid w:val="004242F4"/>
    <w:rsid w:val="00427248"/>
    <w:rsid w:val="00432EA3"/>
    <w:rsid w:val="0043324D"/>
    <w:rsid w:val="004358F0"/>
    <w:rsid w:val="0043650E"/>
    <w:rsid w:val="00437447"/>
    <w:rsid w:val="00441A92"/>
    <w:rsid w:val="004428EF"/>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64F1"/>
    <w:rsid w:val="004A0F7C"/>
    <w:rsid w:val="004A16BC"/>
    <w:rsid w:val="004A2B94"/>
    <w:rsid w:val="004A5281"/>
    <w:rsid w:val="004A68C2"/>
    <w:rsid w:val="004A7419"/>
    <w:rsid w:val="004A7D56"/>
    <w:rsid w:val="004B3B03"/>
    <w:rsid w:val="004B72BA"/>
    <w:rsid w:val="004B7C0C"/>
    <w:rsid w:val="004C379F"/>
    <w:rsid w:val="004C3898"/>
    <w:rsid w:val="004C7E2C"/>
    <w:rsid w:val="004D212A"/>
    <w:rsid w:val="004D36B1"/>
    <w:rsid w:val="004D7EBD"/>
    <w:rsid w:val="004E2680"/>
    <w:rsid w:val="004E28F9"/>
    <w:rsid w:val="004E3F61"/>
    <w:rsid w:val="004E462E"/>
    <w:rsid w:val="004E56DC"/>
    <w:rsid w:val="004E6092"/>
    <w:rsid w:val="004E6727"/>
    <w:rsid w:val="004E72C3"/>
    <w:rsid w:val="004E76F4"/>
    <w:rsid w:val="004F0B4E"/>
    <w:rsid w:val="004F0B6C"/>
    <w:rsid w:val="004F2078"/>
    <w:rsid w:val="004F4DA3"/>
    <w:rsid w:val="00500884"/>
    <w:rsid w:val="00501D8D"/>
    <w:rsid w:val="00506557"/>
    <w:rsid w:val="0050677A"/>
    <w:rsid w:val="005108D8"/>
    <w:rsid w:val="005116F9"/>
    <w:rsid w:val="00511A2E"/>
    <w:rsid w:val="005153A7"/>
    <w:rsid w:val="00517AD0"/>
    <w:rsid w:val="0052037E"/>
    <w:rsid w:val="00520D36"/>
    <w:rsid w:val="005219CF"/>
    <w:rsid w:val="005238BB"/>
    <w:rsid w:val="00527027"/>
    <w:rsid w:val="00527DF4"/>
    <w:rsid w:val="00530FD1"/>
    <w:rsid w:val="00531A4E"/>
    <w:rsid w:val="00534B59"/>
    <w:rsid w:val="00535A57"/>
    <w:rsid w:val="00535BEF"/>
    <w:rsid w:val="00536036"/>
    <w:rsid w:val="00536759"/>
    <w:rsid w:val="00537C62"/>
    <w:rsid w:val="005408AE"/>
    <w:rsid w:val="00544436"/>
    <w:rsid w:val="00545536"/>
    <w:rsid w:val="00546970"/>
    <w:rsid w:val="00552203"/>
    <w:rsid w:val="0055231F"/>
    <w:rsid w:val="0055232A"/>
    <w:rsid w:val="00553829"/>
    <w:rsid w:val="00554E19"/>
    <w:rsid w:val="005561A7"/>
    <w:rsid w:val="0056121F"/>
    <w:rsid w:val="00565488"/>
    <w:rsid w:val="005709E3"/>
    <w:rsid w:val="005713F7"/>
    <w:rsid w:val="00572505"/>
    <w:rsid w:val="0058206C"/>
    <w:rsid w:val="00582809"/>
    <w:rsid w:val="00585F78"/>
    <w:rsid w:val="0058798C"/>
    <w:rsid w:val="00587FA9"/>
    <w:rsid w:val="005900FA"/>
    <w:rsid w:val="0059175A"/>
    <w:rsid w:val="00591876"/>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3B2"/>
    <w:rsid w:val="005E5834"/>
    <w:rsid w:val="005E5B81"/>
    <w:rsid w:val="005F2CB1"/>
    <w:rsid w:val="005F3025"/>
    <w:rsid w:val="005F618C"/>
    <w:rsid w:val="005F70BD"/>
    <w:rsid w:val="005F7E70"/>
    <w:rsid w:val="00600F6A"/>
    <w:rsid w:val="0060283C"/>
    <w:rsid w:val="00603BC5"/>
    <w:rsid w:val="00604F14"/>
    <w:rsid w:val="00611B83"/>
    <w:rsid w:val="00613257"/>
    <w:rsid w:val="00615B9D"/>
    <w:rsid w:val="006204DC"/>
    <w:rsid w:val="00620A71"/>
    <w:rsid w:val="00620D80"/>
    <w:rsid w:val="006234A6"/>
    <w:rsid w:val="00623923"/>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691C"/>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58FB"/>
    <w:rsid w:val="00675C72"/>
    <w:rsid w:val="006771F9"/>
    <w:rsid w:val="006776D7"/>
    <w:rsid w:val="00681003"/>
    <w:rsid w:val="006817C9"/>
    <w:rsid w:val="00683ECE"/>
    <w:rsid w:val="0069010F"/>
    <w:rsid w:val="00690172"/>
    <w:rsid w:val="00692EDE"/>
    <w:rsid w:val="00695FC2"/>
    <w:rsid w:val="00696949"/>
    <w:rsid w:val="00697052"/>
    <w:rsid w:val="006A18D5"/>
    <w:rsid w:val="006A46FB"/>
    <w:rsid w:val="006A5E1E"/>
    <w:rsid w:val="006A5E28"/>
    <w:rsid w:val="006A697B"/>
    <w:rsid w:val="006A7AFF"/>
    <w:rsid w:val="006B0BB5"/>
    <w:rsid w:val="006B1816"/>
    <w:rsid w:val="006B2099"/>
    <w:rsid w:val="006B50CF"/>
    <w:rsid w:val="006B7BE2"/>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41D"/>
    <w:rsid w:val="006F3CDE"/>
    <w:rsid w:val="006F58D4"/>
    <w:rsid w:val="007006BE"/>
    <w:rsid w:val="00702E19"/>
    <w:rsid w:val="0070346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EA6"/>
    <w:rsid w:val="00727208"/>
    <w:rsid w:val="00727680"/>
    <w:rsid w:val="0073381F"/>
    <w:rsid w:val="007348B1"/>
    <w:rsid w:val="00734A8B"/>
    <w:rsid w:val="00735268"/>
    <w:rsid w:val="007355C4"/>
    <w:rsid w:val="007362A6"/>
    <w:rsid w:val="00736D7D"/>
    <w:rsid w:val="00740E58"/>
    <w:rsid w:val="00741F19"/>
    <w:rsid w:val="00742624"/>
    <w:rsid w:val="0074305D"/>
    <w:rsid w:val="007432A9"/>
    <w:rsid w:val="007438CE"/>
    <w:rsid w:val="007445A0"/>
    <w:rsid w:val="007447EF"/>
    <w:rsid w:val="0074524B"/>
    <w:rsid w:val="00746183"/>
    <w:rsid w:val="00747D8B"/>
    <w:rsid w:val="007508A2"/>
    <w:rsid w:val="00751228"/>
    <w:rsid w:val="007571E1"/>
    <w:rsid w:val="007604B2"/>
    <w:rsid w:val="00762500"/>
    <w:rsid w:val="00765281"/>
    <w:rsid w:val="00766BAD"/>
    <w:rsid w:val="0076708C"/>
    <w:rsid w:val="007755F2"/>
    <w:rsid w:val="00776971"/>
    <w:rsid w:val="00777AC8"/>
    <w:rsid w:val="0078177E"/>
    <w:rsid w:val="0078304C"/>
    <w:rsid w:val="00783673"/>
    <w:rsid w:val="00785490"/>
    <w:rsid w:val="00785BC6"/>
    <w:rsid w:val="007925EA"/>
    <w:rsid w:val="00792A09"/>
    <w:rsid w:val="007935D9"/>
    <w:rsid w:val="00793CD8"/>
    <w:rsid w:val="007950A8"/>
    <w:rsid w:val="00795C92"/>
    <w:rsid w:val="00796231"/>
    <w:rsid w:val="007966F9"/>
    <w:rsid w:val="00796F94"/>
    <w:rsid w:val="007A0B6A"/>
    <w:rsid w:val="007A1CB3"/>
    <w:rsid w:val="007A283F"/>
    <w:rsid w:val="007A306F"/>
    <w:rsid w:val="007A43A6"/>
    <w:rsid w:val="007A58A6"/>
    <w:rsid w:val="007A6AD0"/>
    <w:rsid w:val="007A719B"/>
    <w:rsid w:val="007B1455"/>
    <w:rsid w:val="007B3D2D"/>
    <w:rsid w:val="007B50AE"/>
    <w:rsid w:val="007B51DF"/>
    <w:rsid w:val="007B5213"/>
    <w:rsid w:val="007B68C1"/>
    <w:rsid w:val="007C05DD"/>
    <w:rsid w:val="007C0DE4"/>
    <w:rsid w:val="007C3D18"/>
    <w:rsid w:val="007C60BF"/>
    <w:rsid w:val="007C6A07"/>
    <w:rsid w:val="007C75A1"/>
    <w:rsid w:val="007C77A5"/>
    <w:rsid w:val="007D04E5"/>
    <w:rsid w:val="007D1E1D"/>
    <w:rsid w:val="007D5901"/>
    <w:rsid w:val="007D685B"/>
    <w:rsid w:val="007D7526"/>
    <w:rsid w:val="007E4610"/>
    <w:rsid w:val="007E4715"/>
    <w:rsid w:val="007E505B"/>
    <w:rsid w:val="007E683C"/>
    <w:rsid w:val="007E7091"/>
    <w:rsid w:val="007E784D"/>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D6F"/>
    <w:rsid w:val="00833A21"/>
    <w:rsid w:val="0083700D"/>
    <w:rsid w:val="008376AC"/>
    <w:rsid w:val="00843190"/>
    <w:rsid w:val="008444E8"/>
    <w:rsid w:val="00844E80"/>
    <w:rsid w:val="00846FE7"/>
    <w:rsid w:val="00856911"/>
    <w:rsid w:val="00862ADB"/>
    <w:rsid w:val="00863D1B"/>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230C"/>
    <w:rsid w:val="00894A88"/>
    <w:rsid w:val="00895386"/>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F1EAB"/>
    <w:rsid w:val="008F33DC"/>
    <w:rsid w:val="008F35FC"/>
    <w:rsid w:val="008F36A6"/>
    <w:rsid w:val="008F477F"/>
    <w:rsid w:val="008F523A"/>
    <w:rsid w:val="00902350"/>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2D2"/>
    <w:rsid w:val="00937B5A"/>
    <w:rsid w:val="00941636"/>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59A6"/>
    <w:rsid w:val="0097603D"/>
    <w:rsid w:val="00976949"/>
    <w:rsid w:val="00976CCA"/>
    <w:rsid w:val="00980477"/>
    <w:rsid w:val="00980F2B"/>
    <w:rsid w:val="00985253"/>
    <w:rsid w:val="009853B3"/>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E87"/>
    <w:rsid w:val="009C403E"/>
    <w:rsid w:val="009C5D9A"/>
    <w:rsid w:val="009D048B"/>
    <w:rsid w:val="009D28AD"/>
    <w:rsid w:val="009D484C"/>
    <w:rsid w:val="009D4FF0"/>
    <w:rsid w:val="009D703C"/>
    <w:rsid w:val="009D718F"/>
    <w:rsid w:val="009E068F"/>
    <w:rsid w:val="009E14E0"/>
    <w:rsid w:val="009E2A13"/>
    <w:rsid w:val="009E35DB"/>
    <w:rsid w:val="009E3E2F"/>
    <w:rsid w:val="009E47A3"/>
    <w:rsid w:val="009E7B23"/>
    <w:rsid w:val="009F08F3"/>
    <w:rsid w:val="009F344F"/>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208D"/>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7891"/>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92879"/>
    <w:rsid w:val="00A937F3"/>
    <w:rsid w:val="00A9442A"/>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3F94"/>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3A18"/>
    <w:rsid w:val="00B05084"/>
    <w:rsid w:val="00B069E1"/>
    <w:rsid w:val="00B11E1B"/>
    <w:rsid w:val="00B157F9"/>
    <w:rsid w:val="00B20256"/>
    <w:rsid w:val="00B20D09"/>
    <w:rsid w:val="00B22452"/>
    <w:rsid w:val="00B225A5"/>
    <w:rsid w:val="00B23120"/>
    <w:rsid w:val="00B266CC"/>
    <w:rsid w:val="00B2686F"/>
    <w:rsid w:val="00B2763F"/>
    <w:rsid w:val="00B27AAC"/>
    <w:rsid w:val="00B30431"/>
    <w:rsid w:val="00B3057C"/>
    <w:rsid w:val="00B30929"/>
    <w:rsid w:val="00B35CA3"/>
    <w:rsid w:val="00B372AA"/>
    <w:rsid w:val="00B37748"/>
    <w:rsid w:val="00B40445"/>
    <w:rsid w:val="00B41888"/>
    <w:rsid w:val="00B42CD7"/>
    <w:rsid w:val="00B45A52"/>
    <w:rsid w:val="00B46175"/>
    <w:rsid w:val="00B503A6"/>
    <w:rsid w:val="00B5100C"/>
    <w:rsid w:val="00B664C7"/>
    <w:rsid w:val="00B739F6"/>
    <w:rsid w:val="00B7618F"/>
    <w:rsid w:val="00B8088E"/>
    <w:rsid w:val="00B816EA"/>
    <w:rsid w:val="00B81A6C"/>
    <w:rsid w:val="00B81B0D"/>
    <w:rsid w:val="00B83BC0"/>
    <w:rsid w:val="00B85DE5"/>
    <w:rsid w:val="00B860A0"/>
    <w:rsid w:val="00B90301"/>
    <w:rsid w:val="00B9077F"/>
    <w:rsid w:val="00B90F73"/>
    <w:rsid w:val="00B92EA3"/>
    <w:rsid w:val="00B93B59"/>
    <w:rsid w:val="00B9406A"/>
    <w:rsid w:val="00BA2280"/>
    <w:rsid w:val="00BA2864"/>
    <w:rsid w:val="00BA2A08"/>
    <w:rsid w:val="00BA56D2"/>
    <w:rsid w:val="00BA76E0"/>
    <w:rsid w:val="00BA7AF0"/>
    <w:rsid w:val="00BB19ED"/>
    <w:rsid w:val="00BB1DDE"/>
    <w:rsid w:val="00BB246D"/>
    <w:rsid w:val="00BB2A25"/>
    <w:rsid w:val="00BB51E9"/>
    <w:rsid w:val="00BB7AFF"/>
    <w:rsid w:val="00BC0FDC"/>
    <w:rsid w:val="00BC15A2"/>
    <w:rsid w:val="00BC3053"/>
    <w:rsid w:val="00BC4D2E"/>
    <w:rsid w:val="00BD09F7"/>
    <w:rsid w:val="00BD1174"/>
    <w:rsid w:val="00BD184A"/>
    <w:rsid w:val="00BD48AC"/>
    <w:rsid w:val="00BD5F1A"/>
    <w:rsid w:val="00BD73A3"/>
    <w:rsid w:val="00BE0BB9"/>
    <w:rsid w:val="00BE1234"/>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79B5"/>
    <w:rsid w:val="00C27C45"/>
    <w:rsid w:val="00C36612"/>
    <w:rsid w:val="00C36C34"/>
    <w:rsid w:val="00C3719D"/>
    <w:rsid w:val="00C45571"/>
    <w:rsid w:val="00C465CE"/>
    <w:rsid w:val="00C4713E"/>
    <w:rsid w:val="00C54995"/>
    <w:rsid w:val="00C54D41"/>
    <w:rsid w:val="00C55E52"/>
    <w:rsid w:val="00C5754D"/>
    <w:rsid w:val="00C60783"/>
    <w:rsid w:val="00C60D03"/>
    <w:rsid w:val="00C61FD4"/>
    <w:rsid w:val="00C6255D"/>
    <w:rsid w:val="00C63BA2"/>
    <w:rsid w:val="00C64672"/>
    <w:rsid w:val="00C66D2D"/>
    <w:rsid w:val="00C70697"/>
    <w:rsid w:val="00C72EF4"/>
    <w:rsid w:val="00C75D2F"/>
    <w:rsid w:val="00C767BE"/>
    <w:rsid w:val="00C76E3C"/>
    <w:rsid w:val="00C8004C"/>
    <w:rsid w:val="00C81568"/>
    <w:rsid w:val="00C8725C"/>
    <w:rsid w:val="00C8739A"/>
    <w:rsid w:val="00C9027A"/>
    <w:rsid w:val="00C9068E"/>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F6"/>
    <w:rsid w:val="00CF625B"/>
    <w:rsid w:val="00CF687E"/>
    <w:rsid w:val="00D00AE7"/>
    <w:rsid w:val="00D01957"/>
    <w:rsid w:val="00D0349B"/>
    <w:rsid w:val="00D068D4"/>
    <w:rsid w:val="00D10249"/>
    <w:rsid w:val="00D115C3"/>
    <w:rsid w:val="00D11897"/>
    <w:rsid w:val="00D13135"/>
    <w:rsid w:val="00D13E4E"/>
    <w:rsid w:val="00D140E7"/>
    <w:rsid w:val="00D16698"/>
    <w:rsid w:val="00D239A7"/>
    <w:rsid w:val="00D23F47"/>
    <w:rsid w:val="00D25712"/>
    <w:rsid w:val="00D25792"/>
    <w:rsid w:val="00D31491"/>
    <w:rsid w:val="00D32A9B"/>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DF5"/>
    <w:rsid w:val="00D96B67"/>
    <w:rsid w:val="00DA02AF"/>
    <w:rsid w:val="00DA305E"/>
    <w:rsid w:val="00DA5417"/>
    <w:rsid w:val="00DA5659"/>
    <w:rsid w:val="00DA56E8"/>
    <w:rsid w:val="00DA5E06"/>
    <w:rsid w:val="00DB0A9F"/>
    <w:rsid w:val="00DB2B16"/>
    <w:rsid w:val="00DB377D"/>
    <w:rsid w:val="00DB4FC3"/>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5401"/>
    <w:rsid w:val="00DF58FF"/>
    <w:rsid w:val="00DF7229"/>
    <w:rsid w:val="00E00600"/>
    <w:rsid w:val="00E00660"/>
    <w:rsid w:val="00E00BE1"/>
    <w:rsid w:val="00E07842"/>
    <w:rsid w:val="00E110E7"/>
    <w:rsid w:val="00E11B20"/>
    <w:rsid w:val="00E12BA4"/>
    <w:rsid w:val="00E14C07"/>
    <w:rsid w:val="00E177A7"/>
    <w:rsid w:val="00E17FA2"/>
    <w:rsid w:val="00E22330"/>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287A"/>
    <w:rsid w:val="00EB2889"/>
    <w:rsid w:val="00EB4EA2"/>
    <w:rsid w:val="00EC1E6C"/>
    <w:rsid w:val="00EC27C6"/>
    <w:rsid w:val="00EC4207"/>
    <w:rsid w:val="00EC5653"/>
    <w:rsid w:val="00EC5BF9"/>
    <w:rsid w:val="00EC71CE"/>
    <w:rsid w:val="00ED1006"/>
    <w:rsid w:val="00ED2AAD"/>
    <w:rsid w:val="00ED4733"/>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30828"/>
    <w:rsid w:val="00F313D6"/>
    <w:rsid w:val="00F36E17"/>
    <w:rsid w:val="00F40F0C"/>
    <w:rsid w:val="00F42239"/>
    <w:rsid w:val="00F45221"/>
    <w:rsid w:val="00F4766C"/>
    <w:rsid w:val="00F50548"/>
    <w:rsid w:val="00F507D1"/>
    <w:rsid w:val="00F519CE"/>
    <w:rsid w:val="00F51ADA"/>
    <w:rsid w:val="00F522EF"/>
    <w:rsid w:val="00F56091"/>
    <w:rsid w:val="00F607C5"/>
    <w:rsid w:val="00F60DEA"/>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289"/>
    <w:rsid w:val="00F96985"/>
    <w:rsid w:val="00F969C0"/>
    <w:rsid w:val="00F974D0"/>
    <w:rsid w:val="00F97838"/>
    <w:rsid w:val="00FA0C89"/>
    <w:rsid w:val="00FA213F"/>
    <w:rsid w:val="00FA2BB3"/>
    <w:rsid w:val="00FB0C15"/>
    <w:rsid w:val="00FB1944"/>
    <w:rsid w:val="00FB2039"/>
    <w:rsid w:val="00FB216B"/>
    <w:rsid w:val="00FB368B"/>
    <w:rsid w:val="00FB3B05"/>
    <w:rsid w:val="00FB3F9E"/>
    <w:rsid w:val="00FB4C80"/>
    <w:rsid w:val="00FB64DC"/>
    <w:rsid w:val="00FB6A6A"/>
    <w:rsid w:val="00FB7F1D"/>
    <w:rsid w:val="00FC2AA5"/>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4C7B"/>
    <w:rsid w:val="00FE7336"/>
    <w:rsid w:val="00FE787C"/>
    <w:rsid w:val="00FF1E79"/>
    <w:rsid w:val="00FF33B7"/>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98319">
      <w:bodyDiv w:val="1"/>
      <w:marLeft w:val="0"/>
      <w:marRight w:val="0"/>
      <w:marTop w:val="0"/>
      <w:marBottom w:val="0"/>
      <w:divBdr>
        <w:top w:val="none" w:sz="0" w:space="0" w:color="auto"/>
        <w:left w:val="none" w:sz="0" w:space="0" w:color="auto"/>
        <w:bottom w:val="none" w:sz="0" w:space="0" w:color="auto"/>
        <w:right w:val="none" w:sz="0" w:space="0" w:color="auto"/>
      </w:divBdr>
      <w:divsChild>
        <w:div w:id="1329209588">
          <w:marLeft w:val="1411"/>
          <w:marRight w:val="0"/>
          <w:marTop w:val="96"/>
          <w:marBottom w:val="0"/>
          <w:divBdr>
            <w:top w:val="none" w:sz="0" w:space="0" w:color="auto"/>
            <w:left w:val="none" w:sz="0" w:space="0" w:color="auto"/>
            <w:bottom w:val="none" w:sz="0" w:space="0" w:color="auto"/>
            <w:right w:val="none" w:sz="0" w:space="0" w:color="auto"/>
          </w:divBdr>
        </w:div>
        <w:div w:id="603535020">
          <w:marLeft w:val="1973"/>
          <w:marRight w:val="0"/>
          <w:marTop w:val="82"/>
          <w:marBottom w:val="0"/>
          <w:divBdr>
            <w:top w:val="none" w:sz="0" w:space="0" w:color="auto"/>
            <w:left w:val="none" w:sz="0" w:space="0" w:color="auto"/>
            <w:bottom w:val="none" w:sz="0" w:space="0" w:color="auto"/>
            <w:right w:val="none" w:sz="0" w:space="0" w:color="auto"/>
          </w:divBdr>
        </w:div>
        <w:div w:id="1929070391">
          <w:marLeft w:val="1973"/>
          <w:marRight w:val="0"/>
          <w:marTop w:val="82"/>
          <w:marBottom w:val="0"/>
          <w:divBdr>
            <w:top w:val="none" w:sz="0" w:space="0" w:color="auto"/>
            <w:left w:val="none" w:sz="0" w:space="0" w:color="auto"/>
            <w:bottom w:val="none" w:sz="0" w:space="0" w:color="auto"/>
            <w:right w:val="none" w:sz="0" w:space="0" w:color="auto"/>
          </w:divBdr>
        </w:div>
        <w:div w:id="552010146">
          <w:marLeft w:val="1411"/>
          <w:marRight w:val="0"/>
          <w:marTop w:val="96"/>
          <w:marBottom w:val="0"/>
          <w:divBdr>
            <w:top w:val="none" w:sz="0" w:space="0" w:color="auto"/>
            <w:left w:val="none" w:sz="0" w:space="0" w:color="auto"/>
            <w:bottom w:val="none" w:sz="0" w:space="0" w:color="auto"/>
            <w:right w:val="none" w:sz="0" w:space="0" w:color="auto"/>
          </w:divBdr>
        </w:div>
        <w:div w:id="1206913154">
          <w:marLeft w:val="1973"/>
          <w:marRight w:val="0"/>
          <w:marTop w:val="82"/>
          <w:marBottom w:val="0"/>
          <w:divBdr>
            <w:top w:val="none" w:sz="0" w:space="0" w:color="auto"/>
            <w:left w:val="none" w:sz="0" w:space="0" w:color="auto"/>
            <w:bottom w:val="none" w:sz="0" w:space="0" w:color="auto"/>
            <w:right w:val="none" w:sz="0" w:space="0" w:color="auto"/>
          </w:divBdr>
        </w:div>
        <w:div w:id="263073063">
          <w:marLeft w:val="2549"/>
          <w:marRight w:val="0"/>
          <w:marTop w:val="82"/>
          <w:marBottom w:val="0"/>
          <w:divBdr>
            <w:top w:val="none" w:sz="0" w:space="0" w:color="auto"/>
            <w:left w:val="none" w:sz="0" w:space="0" w:color="auto"/>
            <w:bottom w:val="none" w:sz="0" w:space="0" w:color="auto"/>
            <w:right w:val="none" w:sz="0" w:space="0" w:color="auto"/>
          </w:divBdr>
        </w:div>
        <w:div w:id="903687907">
          <w:marLeft w:val="2549"/>
          <w:marRight w:val="0"/>
          <w:marTop w:val="82"/>
          <w:marBottom w:val="0"/>
          <w:divBdr>
            <w:top w:val="none" w:sz="0" w:space="0" w:color="auto"/>
            <w:left w:val="none" w:sz="0" w:space="0" w:color="auto"/>
            <w:bottom w:val="none" w:sz="0" w:space="0" w:color="auto"/>
            <w:right w:val="none" w:sz="0" w:space="0" w:color="auto"/>
          </w:divBdr>
        </w:div>
        <w:div w:id="779031954">
          <w:marLeft w:val="1973"/>
          <w:marRight w:val="0"/>
          <w:marTop w:val="82"/>
          <w:marBottom w:val="0"/>
          <w:divBdr>
            <w:top w:val="none" w:sz="0" w:space="0" w:color="auto"/>
            <w:left w:val="none" w:sz="0" w:space="0" w:color="auto"/>
            <w:bottom w:val="none" w:sz="0" w:space="0" w:color="auto"/>
            <w:right w:val="none" w:sz="0" w:space="0" w:color="auto"/>
          </w:divBdr>
        </w:div>
        <w:div w:id="2029256968">
          <w:marLeft w:val="1973"/>
          <w:marRight w:val="0"/>
          <w:marTop w:val="82"/>
          <w:marBottom w:val="0"/>
          <w:divBdr>
            <w:top w:val="none" w:sz="0" w:space="0" w:color="auto"/>
            <w:left w:val="none" w:sz="0" w:space="0" w:color="auto"/>
            <w:bottom w:val="none" w:sz="0" w:space="0" w:color="auto"/>
            <w:right w:val="none" w:sz="0" w:space="0" w:color="auto"/>
          </w:divBdr>
        </w:div>
      </w:divsChild>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38683189">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291056022">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425222930">
      <w:bodyDiv w:val="1"/>
      <w:marLeft w:val="0"/>
      <w:marRight w:val="0"/>
      <w:marTop w:val="0"/>
      <w:marBottom w:val="0"/>
      <w:divBdr>
        <w:top w:val="none" w:sz="0" w:space="0" w:color="auto"/>
        <w:left w:val="none" w:sz="0" w:space="0" w:color="auto"/>
        <w:bottom w:val="none" w:sz="0" w:space="0" w:color="auto"/>
        <w:right w:val="none" w:sz="0" w:space="0" w:color="auto"/>
      </w:divBdr>
    </w:div>
    <w:div w:id="1483036504">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F63FF-169A-4077-9D12-92747F1BE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2008-01-31T07:09:00Z</cp:lastPrinted>
  <dcterms:created xsi:type="dcterms:W3CDTF">2016-04-01T16:06:00Z</dcterms:created>
  <dcterms:modified xsi:type="dcterms:W3CDTF">2016-04-01T16:06:00Z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